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D349B" w14:textId="77777777" w:rsidR="00192B24" w:rsidRDefault="00153993" w:rsidP="00D933D2">
      <w:pPr>
        <w:pStyle w:val="Nadpis1"/>
        <w:jc w:val="both"/>
      </w:pPr>
      <w:r>
        <w:t xml:space="preserve">Digitální </w:t>
      </w:r>
      <w:r w:rsidR="005C7B71">
        <w:t xml:space="preserve">technologie </w:t>
      </w:r>
      <w:r w:rsidR="00D941EC">
        <w:t>jako učební pomůcka</w:t>
      </w:r>
    </w:p>
    <w:p w14:paraId="08AEC25A" w14:textId="413C101B" w:rsidR="00632CB2" w:rsidRDefault="00632CB2" w:rsidP="00D933D2">
      <w:pPr>
        <w:pStyle w:val="Nadpis2"/>
        <w:jc w:val="both"/>
      </w:pPr>
      <w:r>
        <w:t>Úvod</w:t>
      </w:r>
    </w:p>
    <w:p w14:paraId="3842AC5B" w14:textId="5213ABAF" w:rsidR="00632CB2" w:rsidRPr="00632CB2" w:rsidRDefault="00632CB2" w:rsidP="00793659">
      <w:pPr>
        <w:jc w:val="both"/>
      </w:pPr>
      <w:r w:rsidRPr="00793659">
        <w:rPr>
          <w:rFonts w:eastAsia="Times New Roman"/>
          <w:iCs/>
        </w:rPr>
        <w:t xml:space="preserve">S technologickými inovacemi ve školství se čím dál častěji objevují otázky, jakých forem může v digitálním věku nabývat učební pomůcka. Předmětem tohoto materiálu je proto výklad </w:t>
      </w:r>
      <w:r>
        <w:rPr>
          <w:rFonts w:eastAsia="Times New Roman"/>
          <w:iCs/>
        </w:rPr>
        <w:t xml:space="preserve">pojmu </w:t>
      </w:r>
      <w:r w:rsidRPr="00793659">
        <w:rPr>
          <w:rFonts w:eastAsia="Times New Roman"/>
          <w:iCs/>
        </w:rPr>
        <w:t>„</w:t>
      </w:r>
      <w:r w:rsidRPr="00793659">
        <w:rPr>
          <w:rFonts w:eastAsia="Times New Roman"/>
          <w:b/>
          <w:iCs/>
        </w:rPr>
        <w:t>digitální učební pomůcka</w:t>
      </w:r>
      <w:r w:rsidRPr="00793659">
        <w:rPr>
          <w:rFonts w:eastAsia="Times New Roman"/>
          <w:iCs/>
        </w:rPr>
        <w:t>“, a to z pohledu § 160</w:t>
      </w:r>
      <w:r>
        <w:rPr>
          <w:rFonts w:eastAsia="Times New Roman"/>
          <w:iCs/>
        </w:rPr>
        <w:t xml:space="preserve"> </w:t>
      </w:r>
      <w:r w:rsidRPr="00793659">
        <w:rPr>
          <w:rFonts w:eastAsia="Times New Roman"/>
          <w:iCs/>
        </w:rPr>
        <w:t>školského zákona</w:t>
      </w:r>
      <w:r>
        <w:rPr>
          <w:rStyle w:val="Znakapoznpodarou"/>
          <w:rFonts w:eastAsia="Times New Roman"/>
          <w:iCs/>
        </w:rPr>
        <w:footnoteReference w:id="1"/>
      </w:r>
      <w:r w:rsidRPr="00793659">
        <w:rPr>
          <w:rFonts w:eastAsia="Times New Roman"/>
          <w:iCs/>
        </w:rPr>
        <w:t>, jinak řečeno, jaký hardware či</w:t>
      </w:r>
      <w:r>
        <w:rPr>
          <w:rFonts w:eastAsia="Times New Roman"/>
          <w:iCs/>
        </w:rPr>
        <w:t> </w:t>
      </w:r>
      <w:r w:rsidRPr="00793659">
        <w:rPr>
          <w:rFonts w:eastAsia="Times New Roman"/>
          <w:iCs/>
        </w:rPr>
        <w:t>software je možné hradit ze státního rozpočtu.</w:t>
      </w:r>
    </w:p>
    <w:p w14:paraId="7877D9E0" w14:textId="23D3A006" w:rsidR="00C81530" w:rsidRDefault="00C81530" w:rsidP="00D933D2">
      <w:pPr>
        <w:pStyle w:val="Nadpis2"/>
        <w:jc w:val="both"/>
      </w:pPr>
      <w:r>
        <w:t>Co je digitální učební pomůcka</w:t>
      </w:r>
    </w:p>
    <w:p w14:paraId="28EE4FBA" w14:textId="40FF1DA7" w:rsidR="00C81530" w:rsidRDefault="00C81530" w:rsidP="00D933D2">
      <w:pPr>
        <w:pStyle w:val="Prosttext"/>
        <w:jc w:val="both"/>
      </w:pPr>
      <w:r>
        <w:t xml:space="preserve">Digitální učební pomůcka je </w:t>
      </w:r>
      <w:r>
        <w:rPr>
          <w:b/>
        </w:rPr>
        <w:t>zařízení, program, aplikace nebo model v elektronické podobě</w:t>
      </w:r>
      <w:r>
        <w:t>, který podporuje získávání a osvojování znalostí a dovedností především prostřednictvím vizualizace, manipulace, experimentování. Jejím aktivním využíváním se rozvíjí</w:t>
      </w:r>
      <w:r w:rsidR="0035142F">
        <w:t xml:space="preserve"> </w:t>
      </w:r>
      <w:r w:rsidR="00823350">
        <w:t xml:space="preserve">digitální kompetence, </w:t>
      </w:r>
      <w:r>
        <w:t>digitální gramotnost nebo informatické myšlení žáka.</w:t>
      </w:r>
    </w:p>
    <w:p w14:paraId="59755508" w14:textId="77777777" w:rsidR="00C81530" w:rsidRDefault="00C81530" w:rsidP="00D933D2">
      <w:pPr>
        <w:pStyle w:val="Prosttext"/>
        <w:jc w:val="both"/>
        <w:rPr>
          <w:b/>
        </w:rPr>
      </w:pPr>
    </w:p>
    <w:p w14:paraId="054BF22C" w14:textId="77777777" w:rsidR="00C81530" w:rsidRDefault="00C81530" w:rsidP="00D933D2">
      <w:pPr>
        <w:pStyle w:val="Nadpis2"/>
        <w:jc w:val="both"/>
      </w:pPr>
      <w:r>
        <w:t>Jak má digitální učební pomůcka fungovat:</w:t>
      </w:r>
    </w:p>
    <w:p w14:paraId="4D96226E" w14:textId="77777777" w:rsidR="00C81530" w:rsidRDefault="00C81530" w:rsidP="00D933D2">
      <w:pPr>
        <w:pStyle w:val="Odstavecseseznamem"/>
        <w:numPr>
          <w:ilvl w:val="0"/>
          <w:numId w:val="8"/>
        </w:numPr>
        <w:spacing w:line="256" w:lineRule="auto"/>
        <w:contextualSpacing/>
        <w:jc w:val="both"/>
      </w:pPr>
      <w:r>
        <w:t xml:space="preserve">Je to učební pomůcka, která </w:t>
      </w:r>
      <w:r>
        <w:rPr>
          <w:b/>
        </w:rPr>
        <w:t>pořizuje nebo zpracovává digitální data</w:t>
      </w:r>
      <w:r>
        <w:t>.</w:t>
      </w:r>
    </w:p>
    <w:p w14:paraId="13B3A264" w14:textId="77777777" w:rsidR="00C81530" w:rsidRDefault="00C81530" w:rsidP="00D933D2">
      <w:pPr>
        <w:pStyle w:val="Odstavecseseznamem"/>
        <w:numPr>
          <w:ilvl w:val="0"/>
          <w:numId w:val="8"/>
        </w:numPr>
        <w:spacing w:line="256" w:lineRule="auto"/>
        <w:contextualSpacing/>
        <w:jc w:val="both"/>
      </w:pPr>
      <w:r>
        <w:t xml:space="preserve">Je to učební pomůcka, která </w:t>
      </w:r>
      <w:r>
        <w:rPr>
          <w:b/>
        </w:rPr>
        <w:t>podporuje aktivní přístup žáka k učení: umožňuje žákovi objevovat, tvořit, experimentovat, řešit problémy, bádat, řešit projekty, spolupracovat ve skupině</w:t>
      </w:r>
      <w:r>
        <w:t>.</w:t>
      </w:r>
    </w:p>
    <w:p w14:paraId="1A506872" w14:textId="67DB2264" w:rsidR="00F508DB" w:rsidRDefault="005534AB" w:rsidP="00F508DB">
      <w:pPr>
        <w:pStyle w:val="Odstavecseseznamem"/>
        <w:numPr>
          <w:ilvl w:val="0"/>
          <w:numId w:val="8"/>
        </w:numPr>
        <w:spacing w:line="256" w:lineRule="auto"/>
        <w:contextualSpacing/>
        <w:jc w:val="both"/>
      </w:pPr>
      <w:r>
        <w:t xml:space="preserve">Je to učební pomůcka, která </w:t>
      </w:r>
      <w:r w:rsidRPr="00A95574">
        <w:rPr>
          <w:b/>
        </w:rPr>
        <w:t xml:space="preserve">přispívá k naplňování školního vzdělávacího programu a rozvoji </w:t>
      </w:r>
      <w:r w:rsidR="00E71568">
        <w:rPr>
          <w:b/>
        </w:rPr>
        <w:t xml:space="preserve">digitálních kompetencí, </w:t>
      </w:r>
      <w:r w:rsidR="00823350">
        <w:rPr>
          <w:b/>
        </w:rPr>
        <w:t xml:space="preserve">digitální gramotnosti či </w:t>
      </w:r>
      <w:r w:rsidRPr="00A95574">
        <w:rPr>
          <w:b/>
        </w:rPr>
        <w:t>informatického myšlení</w:t>
      </w:r>
      <w:r w:rsidR="00823350">
        <w:rPr>
          <w:b/>
        </w:rPr>
        <w:t>.</w:t>
      </w:r>
    </w:p>
    <w:p w14:paraId="09E1F1DE" w14:textId="5657D131" w:rsidR="00F508DB" w:rsidRDefault="00F508DB" w:rsidP="00F508DB">
      <w:pPr>
        <w:pStyle w:val="Odstavecseseznamem"/>
        <w:numPr>
          <w:ilvl w:val="0"/>
          <w:numId w:val="8"/>
        </w:numPr>
        <w:spacing w:line="256" w:lineRule="auto"/>
        <w:contextualSpacing/>
        <w:jc w:val="both"/>
      </w:pPr>
      <w:r>
        <w:t xml:space="preserve">Je to učební pomůcka, kterou využívají zejména žáci a pro potřeby vzdělávání žáků jej mohou využívat i učitelé. </w:t>
      </w:r>
    </w:p>
    <w:p w14:paraId="066AE368" w14:textId="77777777" w:rsidR="00C81530" w:rsidRDefault="00C81530" w:rsidP="00D933D2">
      <w:pPr>
        <w:pStyle w:val="Prosttext"/>
        <w:jc w:val="both"/>
      </w:pPr>
    </w:p>
    <w:p w14:paraId="4DA2BE75" w14:textId="2461A2ED" w:rsidR="00C81530" w:rsidRDefault="00C81530" w:rsidP="00D933D2">
      <w:pPr>
        <w:pStyle w:val="Prosttext"/>
        <w:jc w:val="both"/>
      </w:pPr>
      <w:r>
        <w:rPr>
          <w:b/>
        </w:rPr>
        <w:t>Praktická využitelnost</w:t>
      </w:r>
      <w:r>
        <w:t xml:space="preserve"> digitálních učebních pomůcek se předpokládá nejen v</w:t>
      </w:r>
      <w:r w:rsidR="005534AB">
        <w:t>e vzdělávací oblasti</w:t>
      </w:r>
      <w:r>
        <w:t xml:space="preserve"> Informatika, ale i ve všech ostatních </w:t>
      </w:r>
      <w:r w:rsidR="00E71568">
        <w:t>oblastech</w:t>
      </w:r>
      <w:r>
        <w:t>, kde jsou využívány digitální technologie.</w:t>
      </w:r>
    </w:p>
    <w:p w14:paraId="777178C0" w14:textId="77777777" w:rsidR="00C81530" w:rsidRDefault="00C81530" w:rsidP="00D933D2">
      <w:pPr>
        <w:pStyle w:val="Textkomente"/>
        <w:jc w:val="both"/>
      </w:pPr>
    </w:p>
    <w:p w14:paraId="57324D51" w14:textId="77777777" w:rsidR="00C81530" w:rsidRDefault="00C81530" w:rsidP="00D933D2">
      <w:pPr>
        <w:pStyle w:val="Nadpis2"/>
        <w:jc w:val="both"/>
      </w:pPr>
      <w:r>
        <w:t>Příklady digitálních učebních pomůcek</w:t>
      </w:r>
    </w:p>
    <w:p w14:paraId="3FCD0819" w14:textId="77777777" w:rsidR="00153993" w:rsidRDefault="00153993" w:rsidP="00D933D2">
      <w:pPr>
        <w:pStyle w:val="Nadpis3"/>
        <w:numPr>
          <w:ilvl w:val="0"/>
          <w:numId w:val="9"/>
        </w:numPr>
        <w:jc w:val="both"/>
      </w:pPr>
      <w:r>
        <w:t>Digitální zařízení (hardware)</w:t>
      </w:r>
    </w:p>
    <w:p w14:paraId="37BC8199" w14:textId="77777777" w:rsidR="00153993" w:rsidRDefault="00153993" w:rsidP="00D933D2">
      <w:pPr>
        <w:pStyle w:val="Odstavecseseznamem"/>
        <w:numPr>
          <w:ilvl w:val="0"/>
          <w:numId w:val="6"/>
        </w:numPr>
        <w:jc w:val="both"/>
      </w:pPr>
      <w:r>
        <w:t>Nepřenosné počítače</w:t>
      </w:r>
      <w:r w:rsidR="00D933D2">
        <w:t xml:space="preserve">, včetně příslušenství jako obrazovky apod. </w:t>
      </w:r>
    </w:p>
    <w:p w14:paraId="55C48E3E" w14:textId="77777777" w:rsidR="00153993" w:rsidRDefault="00153993" w:rsidP="00D933D2">
      <w:pPr>
        <w:pStyle w:val="Odstavecseseznamem"/>
        <w:numPr>
          <w:ilvl w:val="0"/>
          <w:numId w:val="6"/>
        </w:numPr>
        <w:jc w:val="both"/>
      </w:pPr>
      <w:r w:rsidRPr="00153993">
        <w:t>Mobilní digitální zařízení</w:t>
      </w:r>
      <w:r>
        <w:t xml:space="preserve"> jako notebooky, </w:t>
      </w:r>
      <w:proofErr w:type="spellStart"/>
      <w:r>
        <w:t>ultrabooky</w:t>
      </w:r>
      <w:proofErr w:type="spellEnd"/>
      <w:r>
        <w:t xml:space="preserve">, tablety, </w:t>
      </w:r>
      <w:proofErr w:type="spellStart"/>
      <w:r>
        <w:t>phablety</w:t>
      </w:r>
      <w:proofErr w:type="spellEnd"/>
      <w:r>
        <w:t>, mobilní telefony apod.</w:t>
      </w:r>
      <w:r w:rsidRPr="00153993">
        <w:t>, včetně příslušenství (nabíjecí boxy, obaly apod.)</w:t>
      </w:r>
    </w:p>
    <w:p w14:paraId="7091BB2F" w14:textId="77777777" w:rsidR="00153993" w:rsidRPr="00153993" w:rsidRDefault="00153993" w:rsidP="00D933D2">
      <w:pPr>
        <w:pStyle w:val="Odstavecseseznamem"/>
        <w:numPr>
          <w:ilvl w:val="0"/>
          <w:numId w:val="6"/>
        </w:numPr>
        <w:jc w:val="both"/>
      </w:pPr>
      <w:r>
        <w:t>Příslušenství k digitálním mobilním zařízení</w:t>
      </w:r>
      <w:r w:rsidR="005E55C7">
        <w:t>m</w:t>
      </w:r>
      <w:r>
        <w:t xml:space="preserve"> (např. webkamery, myši, sluchátka, klávesnice, obaly apod.)</w:t>
      </w:r>
    </w:p>
    <w:p w14:paraId="21C6F209" w14:textId="77777777" w:rsidR="00153993" w:rsidRPr="00153993" w:rsidRDefault="00153993" w:rsidP="00D933D2">
      <w:pPr>
        <w:pStyle w:val="Odstavecseseznamem"/>
        <w:numPr>
          <w:ilvl w:val="0"/>
          <w:numId w:val="6"/>
        </w:numPr>
        <w:jc w:val="both"/>
      </w:pPr>
      <w:r w:rsidRPr="00153993">
        <w:t>3D tiskárny a 3D pera</w:t>
      </w:r>
    </w:p>
    <w:p w14:paraId="684015C3" w14:textId="77777777" w:rsidR="00153993" w:rsidRPr="00153993" w:rsidRDefault="00153993" w:rsidP="00D933D2">
      <w:pPr>
        <w:pStyle w:val="Odstavecseseznamem"/>
        <w:numPr>
          <w:ilvl w:val="0"/>
          <w:numId w:val="6"/>
        </w:numPr>
        <w:jc w:val="both"/>
      </w:pPr>
      <w:r w:rsidRPr="00153993">
        <w:t>Zařízení pro využití rozšířené nebo virtuální reality</w:t>
      </w:r>
    </w:p>
    <w:p w14:paraId="7D8FD984" w14:textId="77777777" w:rsidR="00153993" w:rsidRPr="00153993" w:rsidRDefault="00C81530" w:rsidP="00D933D2">
      <w:pPr>
        <w:pStyle w:val="Odstavecseseznamem"/>
        <w:numPr>
          <w:ilvl w:val="0"/>
          <w:numId w:val="6"/>
        </w:numPr>
        <w:jc w:val="both"/>
      </w:pPr>
      <w:r>
        <w:t>Zařízení spadající do kategorie „Internet věcí“ (</w:t>
      </w:r>
      <w:hyperlink r:id="rId8" w:history="1">
        <w:proofErr w:type="gramStart"/>
        <w:r w:rsidRPr="00C81530">
          <w:rPr>
            <w:rStyle w:val="Hypertextovodkaz"/>
          </w:rPr>
          <w:t>Internet</w:t>
        </w:r>
        <w:proofErr w:type="gramEnd"/>
        <w:r w:rsidRPr="00C81530">
          <w:rPr>
            <w:rStyle w:val="Hypertextovodkaz"/>
          </w:rPr>
          <w:t xml:space="preserve"> </w:t>
        </w:r>
        <w:proofErr w:type="spellStart"/>
        <w:r w:rsidRPr="00C81530">
          <w:rPr>
            <w:rStyle w:val="Hypertextovodkaz"/>
          </w:rPr>
          <w:t>of</w:t>
        </w:r>
        <w:proofErr w:type="spellEnd"/>
        <w:r w:rsidRPr="00C81530">
          <w:rPr>
            <w:rStyle w:val="Hypertextovodkaz"/>
          </w:rPr>
          <w:t xml:space="preserve"> </w:t>
        </w:r>
        <w:proofErr w:type="spellStart"/>
        <w:r w:rsidRPr="00C81530">
          <w:rPr>
            <w:rStyle w:val="Hypertextovodkaz"/>
          </w:rPr>
          <w:t>Things</w:t>
        </w:r>
        <w:proofErr w:type="spellEnd"/>
        <w:r w:rsidRPr="00C81530">
          <w:rPr>
            <w:rStyle w:val="Hypertextovodkaz"/>
          </w:rPr>
          <w:t xml:space="preserve">, </w:t>
        </w:r>
        <w:proofErr w:type="spellStart"/>
        <w:r w:rsidR="00153993" w:rsidRPr="00C81530">
          <w:rPr>
            <w:rStyle w:val="Hypertextovodkaz"/>
          </w:rPr>
          <w:t>IoT</w:t>
        </w:r>
        <w:proofErr w:type="spellEnd"/>
      </w:hyperlink>
      <w:r>
        <w:t>)</w:t>
      </w:r>
      <w:r w:rsidR="00153993" w:rsidRPr="00153993">
        <w:t xml:space="preserve"> a badatelská technika, vč. čidel a mikroskopů</w:t>
      </w:r>
    </w:p>
    <w:p w14:paraId="12988A94" w14:textId="77777777" w:rsidR="00153993" w:rsidRPr="00153993" w:rsidRDefault="00153993" w:rsidP="00D933D2">
      <w:pPr>
        <w:pStyle w:val="Odstavecseseznamem"/>
        <w:numPr>
          <w:ilvl w:val="0"/>
          <w:numId w:val="6"/>
        </w:numPr>
        <w:jc w:val="both"/>
      </w:pPr>
      <w:r w:rsidRPr="00153993">
        <w:t>Geolokační technika</w:t>
      </w:r>
    </w:p>
    <w:p w14:paraId="0108F95B" w14:textId="77777777" w:rsidR="00153993" w:rsidRPr="00153993" w:rsidRDefault="00153993" w:rsidP="00D933D2">
      <w:pPr>
        <w:pStyle w:val="Odstavecseseznamem"/>
        <w:numPr>
          <w:ilvl w:val="0"/>
          <w:numId w:val="6"/>
        </w:numPr>
        <w:jc w:val="both"/>
      </w:pPr>
      <w:r w:rsidRPr="00153993">
        <w:t>Robotické a programovatelné učební pomůcky</w:t>
      </w:r>
      <w:r w:rsidR="005C7B71">
        <w:t xml:space="preserve">, např. </w:t>
      </w:r>
      <w:r w:rsidR="005C7B71" w:rsidRPr="005C7B71">
        <w:t>roboti, mikropočítače, robotické stavebnice</w:t>
      </w:r>
    </w:p>
    <w:p w14:paraId="5052C444" w14:textId="77777777" w:rsidR="00153993" w:rsidRPr="00153993" w:rsidRDefault="00153993" w:rsidP="00D933D2">
      <w:pPr>
        <w:pStyle w:val="Odstavecseseznamem"/>
        <w:numPr>
          <w:ilvl w:val="0"/>
          <w:numId w:val="6"/>
        </w:numPr>
        <w:jc w:val="both"/>
      </w:pPr>
      <w:r w:rsidRPr="00153993">
        <w:t>Prezentační zařízení</w:t>
      </w:r>
      <w:r w:rsidR="00C81530">
        <w:t xml:space="preserve"> jako přenosný data projektor</w:t>
      </w:r>
    </w:p>
    <w:p w14:paraId="124044FE" w14:textId="77777777" w:rsidR="00153993" w:rsidRPr="00153993" w:rsidRDefault="00153993" w:rsidP="00D933D2">
      <w:pPr>
        <w:pStyle w:val="Odstavecseseznamem"/>
        <w:numPr>
          <w:ilvl w:val="0"/>
          <w:numId w:val="6"/>
        </w:numPr>
        <w:jc w:val="both"/>
      </w:pPr>
      <w:r w:rsidRPr="00153993">
        <w:t>Snímací zařízení</w:t>
      </w:r>
      <w:r w:rsidR="00C81530">
        <w:t xml:space="preserve"> jako skenery pro využití virtuální/rozšířené reality, </w:t>
      </w:r>
      <w:proofErr w:type="spellStart"/>
      <w:r w:rsidR="00C81530">
        <w:t>vizualizéry</w:t>
      </w:r>
      <w:proofErr w:type="spellEnd"/>
      <w:r w:rsidR="002A7FD6">
        <w:t>, foťáky, kamery</w:t>
      </w:r>
      <w:r w:rsidR="00C81530">
        <w:t xml:space="preserve"> apod. </w:t>
      </w:r>
    </w:p>
    <w:p w14:paraId="46A36C83" w14:textId="77777777" w:rsidR="00153993" w:rsidRPr="00153993" w:rsidRDefault="00153993" w:rsidP="00D933D2">
      <w:pPr>
        <w:pStyle w:val="Odstavecseseznamem"/>
        <w:numPr>
          <w:ilvl w:val="0"/>
          <w:numId w:val="6"/>
        </w:numPr>
        <w:jc w:val="both"/>
      </w:pPr>
      <w:r w:rsidRPr="00153993">
        <w:t>Zařízení pro zachycení, přenos a reprodukci zvuku</w:t>
      </w:r>
    </w:p>
    <w:p w14:paraId="0686A5D3" w14:textId="77777777" w:rsidR="00153993" w:rsidRDefault="00153993" w:rsidP="00D933D2">
      <w:pPr>
        <w:pStyle w:val="Odstavecseseznamem"/>
        <w:numPr>
          <w:ilvl w:val="0"/>
          <w:numId w:val="6"/>
        </w:numPr>
        <w:jc w:val="both"/>
      </w:pPr>
      <w:r w:rsidRPr="00153993">
        <w:lastRenderedPageBreak/>
        <w:t>Digitální zařízení pro žáky s</w:t>
      </w:r>
      <w:r w:rsidR="00FC62BE">
        <w:t>e</w:t>
      </w:r>
      <w:r w:rsidR="005C7B71">
        <w:t> </w:t>
      </w:r>
      <w:r w:rsidRPr="00153993">
        <w:t>SVP</w:t>
      </w:r>
      <w:r w:rsidR="005C7B71">
        <w:t xml:space="preserve">, </w:t>
      </w:r>
      <w:r w:rsidR="005C7B71" w:rsidRPr="005C7B71">
        <w:t>např. pomůcky pro alternativní ovládaní počítače, software pro rozpoznávání hlasu, zvětšování obrazu na displeji, automatické čtení textu, čtečky pro osoby se zrakovým postižením apod.</w:t>
      </w:r>
    </w:p>
    <w:p w14:paraId="317593F0" w14:textId="1DC23513" w:rsidR="008945C0" w:rsidRDefault="00AB0E9D" w:rsidP="00E71568">
      <w:pPr>
        <w:spacing w:before="240"/>
        <w:jc w:val="both"/>
      </w:pPr>
      <w:r>
        <w:t xml:space="preserve">Obecně lze konstatovat, že </w:t>
      </w:r>
      <w:r w:rsidRPr="00E71568">
        <w:rPr>
          <w:b/>
        </w:rPr>
        <w:t>pokud příslušný hardware slouží pro potřeby vzdělávání žáků</w:t>
      </w:r>
      <w:r>
        <w:t xml:space="preserve"> v souladu s příslušným rámcovým vzdělávacím programem, pak se </w:t>
      </w:r>
      <w:r w:rsidRPr="00E71568">
        <w:rPr>
          <w:b/>
        </w:rPr>
        <w:t>může jednat o učební pomůcku</w:t>
      </w:r>
      <w:r>
        <w:t>.</w:t>
      </w:r>
      <w:r w:rsidRPr="00AB0E9D">
        <w:t xml:space="preserve"> Naopak, pokud se jedná o </w:t>
      </w:r>
      <w:r>
        <w:t>hard</w:t>
      </w:r>
      <w:r w:rsidRPr="00AB0E9D">
        <w:t xml:space="preserve">ware, který </w:t>
      </w:r>
      <w:r w:rsidRPr="00E71568">
        <w:rPr>
          <w:b/>
        </w:rPr>
        <w:t>výhradně slouží „provozu“</w:t>
      </w:r>
      <w:r w:rsidR="00632CB2" w:rsidRPr="00E71568">
        <w:rPr>
          <w:b/>
        </w:rPr>
        <w:t xml:space="preserve"> školy</w:t>
      </w:r>
      <w:r w:rsidR="00632CB2">
        <w:rPr>
          <w:rStyle w:val="Znakapoznpodarou"/>
        </w:rPr>
        <w:footnoteReference w:id="2"/>
      </w:r>
      <w:r w:rsidRPr="00AB0E9D">
        <w:t xml:space="preserve">, pak </w:t>
      </w:r>
      <w:r w:rsidRPr="00E71568">
        <w:rPr>
          <w:b/>
        </w:rPr>
        <w:t>se nejedná o učební pomůcku</w:t>
      </w:r>
      <w:r w:rsidRPr="00AB0E9D">
        <w:t xml:space="preserve"> a nelze jej hradit z prostředků poskytovaných na činnost školy ze státního rozpočtu.</w:t>
      </w:r>
    </w:p>
    <w:p w14:paraId="073D5D89" w14:textId="1C847F02" w:rsidR="00153993" w:rsidRPr="00153993" w:rsidRDefault="00153993" w:rsidP="00D933D2">
      <w:pPr>
        <w:pStyle w:val="Nadpis3"/>
        <w:numPr>
          <w:ilvl w:val="0"/>
          <w:numId w:val="9"/>
        </w:numPr>
        <w:jc w:val="both"/>
      </w:pPr>
      <w:r>
        <w:t>Software</w:t>
      </w:r>
      <w:r w:rsidR="00674352">
        <w:rPr>
          <w:rStyle w:val="Znakapoznpodarou"/>
        </w:rPr>
        <w:footnoteReference w:id="3"/>
      </w:r>
    </w:p>
    <w:p w14:paraId="5839F69B" w14:textId="77777777" w:rsidR="00812027" w:rsidRDefault="00153993" w:rsidP="00D933D2">
      <w:pPr>
        <w:jc w:val="both"/>
        <w:rPr>
          <w:i/>
        </w:rPr>
      </w:pPr>
      <w:r>
        <w:t xml:space="preserve"> </w:t>
      </w:r>
      <w:r w:rsidR="00812027">
        <w:t>„</w:t>
      </w:r>
      <w:r w:rsidR="00812027" w:rsidRPr="00812027">
        <w:rPr>
          <w:i/>
        </w:rPr>
        <w:t>softwarové vybavení</w:t>
      </w:r>
      <w:r w:rsidR="00812027">
        <w:rPr>
          <w:i/>
        </w:rPr>
        <w:t>, tj.</w:t>
      </w:r>
      <w:r w:rsidR="00812027" w:rsidRPr="00812027">
        <w:rPr>
          <w:i/>
        </w:rPr>
        <w:t xml:space="preserve"> licence nebo on-line služba</w:t>
      </w:r>
      <w:r w:rsidR="00C81530">
        <w:rPr>
          <w:i/>
        </w:rPr>
        <w:t>, které</w:t>
      </w:r>
      <w:r w:rsidR="00812027" w:rsidRPr="00812027">
        <w:rPr>
          <w:i/>
        </w:rPr>
        <w:t xml:space="preserve"> </w:t>
      </w:r>
      <w:r w:rsidR="00812027">
        <w:rPr>
          <w:i/>
        </w:rPr>
        <w:t>zabezpečuj</w:t>
      </w:r>
      <w:r w:rsidR="00C81530">
        <w:rPr>
          <w:i/>
        </w:rPr>
        <w:t>e</w:t>
      </w:r>
      <w:r w:rsidR="00812027">
        <w:rPr>
          <w:i/>
        </w:rPr>
        <w:t xml:space="preserve"> </w:t>
      </w:r>
      <w:r w:rsidR="00C81530">
        <w:rPr>
          <w:i/>
        </w:rPr>
        <w:t>nebo je</w:t>
      </w:r>
      <w:r w:rsidR="00812027">
        <w:rPr>
          <w:i/>
        </w:rPr>
        <w:t xml:space="preserve"> </w:t>
      </w:r>
      <w:r w:rsidR="00812027" w:rsidRPr="00812027">
        <w:rPr>
          <w:i/>
        </w:rPr>
        <w:t>využiteln</w:t>
      </w:r>
      <w:r w:rsidR="00812027">
        <w:rPr>
          <w:i/>
        </w:rPr>
        <w:t>é</w:t>
      </w:r>
      <w:r w:rsidR="00812027" w:rsidRPr="00812027">
        <w:rPr>
          <w:i/>
        </w:rPr>
        <w:t xml:space="preserve"> </w:t>
      </w:r>
      <w:r w:rsidR="00812027">
        <w:rPr>
          <w:i/>
        </w:rPr>
        <w:t>pro</w:t>
      </w:r>
      <w:r w:rsidR="00812027" w:rsidRPr="00812027">
        <w:rPr>
          <w:i/>
        </w:rPr>
        <w:t xml:space="preserve"> vzdělávání či sloužící jako prostředek ke vzdělávání</w:t>
      </w:r>
      <w:r w:rsidR="005C2608">
        <w:rPr>
          <w:i/>
        </w:rPr>
        <w:t xml:space="preserve">, např. </w:t>
      </w:r>
      <w:r w:rsidR="00812027" w:rsidRPr="00812027">
        <w:rPr>
          <w:i/>
        </w:rPr>
        <w:t>výukový software,</w:t>
      </w:r>
      <w:r w:rsidR="005C2608">
        <w:rPr>
          <w:i/>
        </w:rPr>
        <w:t xml:space="preserve"> operační systém či </w:t>
      </w:r>
      <w:r w:rsidR="00812027" w:rsidRPr="00812027">
        <w:rPr>
          <w:i/>
        </w:rPr>
        <w:t>aplikace nebo části aplikací nad rámec volně dostupného základu</w:t>
      </w:r>
      <w:r w:rsidR="00812027">
        <w:rPr>
          <w:i/>
        </w:rPr>
        <w:t>“</w:t>
      </w:r>
    </w:p>
    <w:p w14:paraId="42B68E19" w14:textId="10F2254C" w:rsidR="00FB6C1C" w:rsidRDefault="0081528C" w:rsidP="00D933D2">
      <w:pPr>
        <w:jc w:val="both"/>
      </w:pPr>
      <w:bookmarkStart w:id="0" w:name="_Hlk85036704"/>
      <w:r>
        <w:t>O</w:t>
      </w:r>
      <w:r w:rsidR="00F40E5D">
        <w:t>becně lze konstatovat, že pokud příslušný software slouží pro potřeby vzdělávání žáků</w:t>
      </w:r>
      <w:r w:rsidR="0097286E">
        <w:t xml:space="preserve"> v souladu s příslušným rámcovým vzdělávacím programem</w:t>
      </w:r>
      <w:r w:rsidR="00F40E5D">
        <w:t xml:space="preserve">, pak </w:t>
      </w:r>
      <w:r w:rsidR="000E04FF">
        <w:t xml:space="preserve">se </w:t>
      </w:r>
      <w:r w:rsidR="00F40E5D">
        <w:t xml:space="preserve">může </w:t>
      </w:r>
      <w:r w:rsidR="000E04FF">
        <w:t>jednat o učební pomůcku</w:t>
      </w:r>
      <w:r w:rsidR="00F40E5D">
        <w:t xml:space="preserve">. </w:t>
      </w:r>
      <w:r w:rsidR="00FB6C1C">
        <w:t xml:space="preserve">Typicky se jedná o </w:t>
      </w:r>
      <w:r w:rsidR="00FB6C1C" w:rsidRPr="00E71568">
        <w:rPr>
          <w:b/>
        </w:rPr>
        <w:t>výukový software</w:t>
      </w:r>
      <w:r w:rsidR="0097286E">
        <w:t>, který je považován za učební pomůcku</w:t>
      </w:r>
      <w:r w:rsidR="00FB6C1C">
        <w:t xml:space="preserve"> bez ohledu na jeho formu. </w:t>
      </w:r>
    </w:p>
    <w:p w14:paraId="70761D3C" w14:textId="44204293" w:rsidR="00F40E5D" w:rsidRDefault="00F40E5D" w:rsidP="00D933D2">
      <w:pPr>
        <w:jc w:val="both"/>
      </w:pPr>
      <w:r>
        <w:t xml:space="preserve">Naopak, pokud se jedná o software, který </w:t>
      </w:r>
      <w:r w:rsidRPr="00217041">
        <w:rPr>
          <w:u w:val="single"/>
        </w:rPr>
        <w:t xml:space="preserve">výhradně </w:t>
      </w:r>
      <w:r>
        <w:t>slouží „provozu“</w:t>
      </w:r>
      <w:r w:rsidR="00632CB2">
        <w:t xml:space="preserve"> </w:t>
      </w:r>
      <w:r w:rsidR="00096637">
        <w:t xml:space="preserve">školy, </w:t>
      </w:r>
      <w:r>
        <w:t xml:space="preserve">pak </w:t>
      </w:r>
      <w:r w:rsidR="00FB6C1C">
        <w:t>se</w:t>
      </w:r>
      <w:r w:rsidR="000E04FF">
        <w:t xml:space="preserve"> nejedná o učební pomůcku a nelze jej hradit z prostředků poskytovaných na činnost školy ze státního rozpočtu</w:t>
      </w:r>
      <w:r>
        <w:t>.</w:t>
      </w:r>
      <w:r w:rsidR="00FB6C1C">
        <w:t xml:space="preserve"> Jedná se například o účetní systém, program pro objednávání obědů</w:t>
      </w:r>
      <w:r w:rsidR="005E0EF7">
        <w:t>, matrika</w:t>
      </w:r>
      <w:r w:rsidR="00FB6C1C">
        <w:t xml:space="preserve"> apod.</w:t>
      </w:r>
    </w:p>
    <w:p w14:paraId="339971F3" w14:textId="199A1C21" w:rsidR="00C0405D" w:rsidRDefault="00C0405D" w:rsidP="00D933D2">
      <w:pPr>
        <w:jc w:val="both"/>
      </w:pPr>
      <w:bookmarkStart w:id="1" w:name="_Hlk85036323"/>
      <w:r w:rsidRPr="00E71568">
        <w:rPr>
          <w:b/>
        </w:rPr>
        <w:t>Školní informační systémy</w:t>
      </w:r>
      <w:r>
        <w:rPr>
          <w:rStyle w:val="Znakapoznpodarou"/>
        </w:rPr>
        <w:footnoteReference w:id="4"/>
      </w:r>
      <w:r>
        <w:t xml:space="preserve"> jsou </w:t>
      </w:r>
      <w:r w:rsidR="004206BD">
        <w:t xml:space="preserve">kromě specifických vzdělávacích modulů považovány za software sloužící „provozu“ školy. V těchto případech se tedy nejedná o učební pomůcku. Je-li v rámci licence školního informačního systému zakoupen i vzdělávací modul pro žáky, tuto část lze považovat za učební pomůcku, avšak její úhrada </w:t>
      </w:r>
      <w:r w:rsidR="007D5863">
        <w:t>by měla</w:t>
      </w:r>
      <w:r w:rsidR="004206BD">
        <w:t xml:space="preserve"> být fakturačně oddělena</w:t>
      </w:r>
      <w:r w:rsidR="007D5863">
        <w:t xml:space="preserve">, aby bylo možné jednoznačně identifikovat, jakou část systému je možné hradit jako učební pomůcku z prostředků poskytnutých škole podle </w:t>
      </w:r>
      <w:r w:rsidR="007D5863" w:rsidRPr="00793659">
        <w:rPr>
          <w:rFonts w:eastAsia="Times New Roman"/>
          <w:iCs/>
        </w:rPr>
        <w:t>§ 160</w:t>
      </w:r>
      <w:r w:rsidR="007D5863">
        <w:rPr>
          <w:rFonts w:eastAsia="Times New Roman"/>
          <w:iCs/>
        </w:rPr>
        <w:t xml:space="preserve"> </w:t>
      </w:r>
      <w:r w:rsidR="007D5863" w:rsidRPr="00793659">
        <w:rPr>
          <w:rFonts w:eastAsia="Times New Roman"/>
          <w:iCs/>
        </w:rPr>
        <w:t>školského zákona</w:t>
      </w:r>
      <w:r w:rsidR="007D5863">
        <w:rPr>
          <w:rFonts w:eastAsia="Times New Roman"/>
          <w:iCs/>
        </w:rPr>
        <w:t>.</w:t>
      </w:r>
      <w:r w:rsidR="004206BD">
        <w:t xml:space="preserve"> </w:t>
      </w:r>
    </w:p>
    <w:p w14:paraId="4B7A9E4E" w14:textId="069543F1" w:rsidR="004206BD" w:rsidRPr="00AF2E09" w:rsidRDefault="004206BD" w:rsidP="00D933D2">
      <w:pPr>
        <w:jc w:val="both"/>
      </w:pPr>
      <w:bookmarkStart w:id="2" w:name="_Hlk86669572"/>
      <w:r w:rsidRPr="00AF2E09">
        <w:rPr>
          <w:b/>
        </w:rPr>
        <w:t>Operační systém</w:t>
      </w:r>
      <w:r w:rsidRPr="00AF2E09">
        <w:t xml:space="preserve"> na </w:t>
      </w:r>
      <w:r w:rsidR="00E71568" w:rsidRPr="00AF2E09">
        <w:t>zařízeních</w:t>
      </w:r>
      <w:r w:rsidRPr="00AF2E09">
        <w:t xml:space="preserve"> </w:t>
      </w:r>
      <w:r w:rsidR="00AF2E09" w:rsidRPr="00AF2E09">
        <w:t xml:space="preserve">využívaných </w:t>
      </w:r>
      <w:r w:rsidRPr="00AF2E09">
        <w:t>žáky je považován za učební pomůcku, neboť samotným pohybem žáka v operačním systém</w:t>
      </w:r>
      <w:bookmarkStart w:id="3" w:name="_GoBack"/>
      <w:bookmarkEnd w:id="3"/>
      <w:r w:rsidRPr="00AF2E09">
        <w:t>u dochází k rozvoji digitálních kompetencí</w:t>
      </w:r>
      <w:r w:rsidR="00823350" w:rsidRPr="00AF2E09">
        <w:t xml:space="preserve"> či digitální gramotnosti</w:t>
      </w:r>
      <w:r w:rsidRPr="00AF2E09">
        <w:t xml:space="preserve">. </w:t>
      </w:r>
    </w:p>
    <w:p w14:paraId="76DE495B" w14:textId="236D66B5" w:rsidR="004206BD" w:rsidRDefault="004206BD" w:rsidP="00D933D2">
      <w:pPr>
        <w:jc w:val="both"/>
      </w:pPr>
      <w:proofErr w:type="spellStart"/>
      <w:r w:rsidRPr="00AF2E09">
        <w:rPr>
          <w:b/>
        </w:rPr>
        <w:t>Cloudové</w:t>
      </w:r>
      <w:proofErr w:type="spellEnd"/>
      <w:r w:rsidRPr="00AF2E09">
        <w:rPr>
          <w:b/>
        </w:rPr>
        <w:t xml:space="preserve"> balíčky</w:t>
      </w:r>
      <w:r w:rsidRPr="00AF2E09">
        <w:rPr>
          <w:rStyle w:val="Znakapoznpodarou"/>
        </w:rPr>
        <w:footnoteReference w:id="5"/>
      </w:r>
      <w:r w:rsidR="00E71568" w:rsidRPr="00AF2E09">
        <w:t xml:space="preserve"> na zařízeních</w:t>
      </w:r>
      <w:r w:rsidRPr="00AF2E09">
        <w:t xml:space="preserve"> </w:t>
      </w:r>
      <w:r w:rsidR="00823350" w:rsidRPr="00AF2E09">
        <w:t>využívan</w:t>
      </w:r>
      <w:r w:rsidR="00AF2E09" w:rsidRPr="00AF2E09">
        <w:t>ých</w:t>
      </w:r>
      <w:r w:rsidR="00823350" w:rsidRPr="00AF2E09">
        <w:t xml:space="preserve"> žáky </w:t>
      </w:r>
      <w:r w:rsidR="00122216" w:rsidRPr="00AF2E09">
        <w:t>mohou být</w:t>
      </w:r>
      <w:r w:rsidRPr="00AF2E09">
        <w:t xml:space="preserve"> považovány za učební pomůcku,</w:t>
      </w:r>
      <w:r w:rsidR="00122216" w:rsidRPr="00AF2E09">
        <w:t xml:space="preserve"> pokud</w:t>
      </w:r>
      <w:r w:rsidRPr="00AF2E09">
        <w:t xml:space="preserve"> zde samotným pohybem žáka v tomto prostředí dochází k rozvoji digitálních kompetencí</w:t>
      </w:r>
      <w:r w:rsidR="00823350" w:rsidRPr="00AF2E09">
        <w:t xml:space="preserve"> či digitální gramotnosti</w:t>
      </w:r>
      <w:r w:rsidRPr="00AF2E09">
        <w:t>.</w:t>
      </w:r>
      <w:r>
        <w:t xml:space="preserve"> </w:t>
      </w:r>
    </w:p>
    <w:bookmarkEnd w:id="0"/>
    <w:bookmarkEnd w:id="1"/>
    <w:bookmarkEnd w:id="2"/>
    <w:p w14:paraId="586E021F" w14:textId="1F603C15" w:rsidR="00F40E5D" w:rsidRDefault="005C2608" w:rsidP="00D933D2">
      <w:pPr>
        <w:jc w:val="both"/>
        <w:rPr>
          <w:highlight w:val="yellow"/>
        </w:rPr>
      </w:pPr>
      <w:r w:rsidRPr="00E71568">
        <w:rPr>
          <w:b/>
        </w:rPr>
        <w:t>Antivirový program</w:t>
      </w:r>
      <w:r w:rsidRPr="00153993">
        <w:t xml:space="preserve"> je považován za software využívaný </w:t>
      </w:r>
      <w:r w:rsidR="00565EE2" w:rsidRPr="00153993">
        <w:t>primárně pro zajištění bezpečnosti dat a</w:t>
      </w:r>
      <w:r w:rsidR="008574BF">
        <w:t> </w:t>
      </w:r>
      <w:r w:rsidR="00565EE2" w:rsidRPr="00153993">
        <w:t xml:space="preserve">zařízení školy i žáků. Nejedná se o výukový software, přestože se žáci v rámci výuky učí antivirový software ovládat (opět za účelem zajištění bezpečnosti dat a zařízení). Antivirový software a jeho </w:t>
      </w:r>
      <w:r w:rsidR="00565EE2" w:rsidRPr="00153993">
        <w:lastRenderedPageBreak/>
        <w:t>ovládání tak napomáhají zajištění podmínek pro bezpečnou práci s daty a zařízeními, ale nepodporují další učení a rozvoj dalších dovedností (na rozdíl od výukového software pro například výuku cizího jazyka nebo dovedností strategického plánování).</w:t>
      </w:r>
      <w:r w:rsidR="0079700C" w:rsidRPr="00153993">
        <w:t xml:space="preserve"> Antivirový program tedy není</w:t>
      </w:r>
      <w:r w:rsidR="000E04FF">
        <w:t> učební pomůckou</w:t>
      </w:r>
      <w:r w:rsidR="00823350">
        <w:t>.</w:t>
      </w:r>
      <w:r w:rsidR="0081528C">
        <w:t xml:space="preserve"> </w:t>
      </w:r>
      <w:r w:rsidR="00823350">
        <w:t>V</w:t>
      </w:r>
      <w:r w:rsidR="0081528C">
        <w:t>ýjimkou může být antivirový program nakoupený výhradně pro použití ve výuce (např. testování apod.)</w:t>
      </w:r>
      <w:r w:rsidR="0079700C" w:rsidRPr="00153993">
        <w:t>.</w:t>
      </w:r>
    </w:p>
    <w:p w14:paraId="4C3C11DD" w14:textId="77777777" w:rsidR="00565EE2" w:rsidRPr="002A7FD6" w:rsidRDefault="000E04FF" w:rsidP="00D933D2">
      <w:pPr>
        <w:pStyle w:val="Nadpis2"/>
      </w:pPr>
      <w:r w:rsidRPr="002A7FD6">
        <w:t>Za učební pomůcku nelze považovat např.</w:t>
      </w:r>
      <w:r w:rsidR="00A72852" w:rsidRPr="002A7FD6">
        <w:t>:</w:t>
      </w:r>
    </w:p>
    <w:p w14:paraId="378637C8" w14:textId="42428F20" w:rsidR="00A72852" w:rsidRDefault="00A72852" w:rsidP="00D933D2">
      <w:pPr>
        <w:pStyle w:val="Odstavecseseznamem"/>
        <w:numPr>
          <w:ilvl w:val="0"/>
          <w:numId w:val="7"/>
        </w:numPr>
        <w:jc w:val="both"/>
      </w:pPr>
      <w:r>
        <w:t xml:space="preserve">Wi-Fi </w:t>
      </w:r>
      <w:proofErr w:type="spellStart"/>
      <w:r>
        <w:t>routery</w:t>
      </w:r>
      <w:proofErr w:type="spellEnd"/>
      <w:r>
        <w:t xml:space="preserve">, </w:t>
      </w:r>
      <w:proofErr w:type="spellStart"/>
      <w:r>
        <w:t>switche</w:t>
      </w:r>
      <w:proofErr w:type="spellEnd"/>
      <w:r w:rsidR="00F508DB">
        <w:t xml:space="preserve"> využívané pro provoz školy, nikoliv pro vzdělávací potřeby žáků</w:t>
      </w:r>
    </w:p>
    <w:p w14:paraId="3316CE19" w14:textId="77777777" w:rsidR="00A72852" w:rsidRDefault="00A72852" w:rsidP="00D933D2">
      <w:pPr>
        <w:pStyle w:val="Odstavecseseznamem"/>
        <w:numPr>
          <w:ilvl w:val="0"/>
          <w:numId w:val="7"/>
        </w:numPr>
        <w:jc w:val="both"/>
      </w:pPr>
      <w:r>
        <w:t>Antivirové programy (viz výše, kromě výjimky popsané výše)</w:t>
      </w:r>
    </w:p>
    <w:p w14:paraId="0CED51C7" w14:textId="77777777" w:rsidR="00A72852" w:rsidRDefault="00A72852" w:rsidP="00D933D2">
      <w:pPr>
        <w:pStyle w:val="Odstavecseseznamem"/>
        <w:numPr>
          <w:ilvl w:val="0"/>
          <w:numId w:val="7"/>
        </w:numPr>
        <w:jc w:val="both"/>
      </w:pPr>
      <w:r>
        <w:t>Připojení k</w:t>
      </w:r>
      <w:r w:rsidR="006D3F9E">
        <w:t> </w:t>
      </w:r>
      <w:r>
        <w:t>internetu</w:t>
      </w:r>
      <w:r w:rsidR="006D3F9E">
        <w:t>, náklady na vnější konektivitu</w:t>
      </w:r>
    </w:p>
    <w:p w14:paraId="0766F7B8" w14:textId="77777777" w:rsidR="00A72852" w:rsidRDefault="00A72852" w:rsidP="00D933D2">
      <w:pPr>
        <w:pStyle w:val="Odstavecseseznamem"/>
        <w:numPr>
          <w:ilvl w:val="0"/>
          <w:numId w:val="7"/>
        </w:numPr>
        <w:jc w:val="both"/>
      </w:pPr>
      <w:r>
        <w:t>Servery</w:t>
      </w:r>
      <w:r w:rsidR="00E008B9">
        <w:t xml:space="preserve"> a další náklady na vnitřní konektivitu</w:t>
      </w:r>
    </w:p>
    <w:p w14:paraId="1439F8B5" w14:textId="77777777" w:rsidR="00A72852" w:rsidRDefault="00A72852" w:rsidP="00D933D2">
      <w:pPr>
        <w:pStyle w:val="Odstavecseseznamem"/>
        <w:numPr>
          <w:ilvl w:val="0"/>
          <w:numId w:val="7"/>
        </w:numPr>
        <w:jc w:val="both"/>
      </w:pPr>
      <w:r>
        <w:t>Náklady na IT správu</w:t>
      </w:r>
    </w:p>
    <w:p w14:paraId="0F06E756" w14:textId="77777777" w:rsidR="000160DB" w:rsidRDefault="00D933D2" w:rsidP="00D933D2">
      <w:pPr>
        <w:pStyle w:val="Odstavecseseznamem"/>
        <w:numPr>
          <w:ilvl w:val="0"/>
          <w:numId w:val="7"/>
        </w:numPr>
        <w:jc w:val="both"/>
      </w:pPr>
      <w:r>
        <w:t>E</w:t>
      </w:r>
      <w:r w:rsidR="000160DB">
        <w:t xml:space="preserve">lektroinstalace apod. </w:t>
      </w:r>
    </w:p>
    <w:p w14:paraId="16E58ED5" w14:textId="77777777" w:rsidR="00A72852" w:rsidRDefault="00A72852" w:rsidP="00D933D2">
      <w:pPr>
        <w:jc w:val="both"/>
      </w:pPr>
    </w:p>
    <w:sectPr w:rsidR="00A728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F38F9" w16cex:dateUtc="2021-09-29T17:11:00Z"/>
  <w16cex:commentExtensible w16cex:durableId="24FF2E71" w16cex:dateUtc="2021-09-29T16:26:00Z"/>
  <w16cex:commentExtensible w16cex:durableId="24FF2E39" w16cex:dateUtc="2021-09-29T16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74E09" w14:textId="77777777" w:rsidR="00297600" w:rsidRDefault="00297600" w:rsidP="008D7623">
      <w:pPr>
        <w:spacing w:after="0" w:line="240" w:lineRule="auto"/>
      </w:pPr>
      <w:r>
        <w:separator/>
      </w:r>
    </w:p>
  </w:endnote>
  <w:endnote w:type="continuationSeparator" w:id="0">
    <w:p w14:paraId="773D3BE8" w14:textId="77777777" w:rsidR="00297600" w:rsidRDefault="00297600" w:rsidP="008D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F0F29" w14:textId="77777777" w:rsidR="004447F5" w:rsidRDefault="004447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76A53" w14:textId="77777777" w:rsidR="004447F5" w:rsidRDefault="004447F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39E95" w14:textId="77777777" w:rsidR="004447F5" w:rsidRDefault="004447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F6E28" w14:textId="77777777" w:rsidR="00297600" w:rsidRDefault="00297600" w:rsidP="008D7623">
      <w:pPr>
        <w:spacing w:after="0" w:line="240" w:lineRule="auto"/>
      </w:pPr>
      <w:r>
        <w:separator/>
      </w:r>
    </w:p>
  </w:footnote>
  <w:footnote w:type="continuationSeparator" w:id="0">
    <w:p w14:paraId="23630128" w14:textId="77777777" w:rsidR="00297600" w:rsidRDefault="00297600" w:rsidP="008D7623">
      <w:pPr>
        <w:spacing w:after="0" w:line="240" w:lineRule="auto"/>
      </w:pPr>
      <w:r>
        <w:continuationSeparator/>
      </w:r>
    </w:p>
  </w:footnote>
  <w:footnote w:id="1">
    <w:p w14:paraId="19CD49EB" w14:textId="7876BAA6" w:rsidR="00632CB2" w:rsidRDefault="00632CB2" w:rsidP="0067435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632CB2">
        <w:t xml:space="preserve">Zákon </w:t>
      </w:r>
      <w:r>
        <w:t xml:space="preserve">č. 561/2004, </w:t>
      </w:r>
      <w:r w:rsidRPr="00632CB2">
        <w:t>o předškolním, základním, středním, vyšším odborném a jiném vzdělávání (školský zákon)</w:t>
      </w:r>
    </w:p>
  </w:footnote>
  <w:footnote w:id="2">
    <w:p w14:paraId="65BE8DCE" w14:textId="4552EE0C" w:rsidR="00632CB2" w:rsidRDefault="00632CB2" w:rsidP="0067435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674352">
        <w:t>T</w:t>
      </w:r>
      <w:r>
        <w:t>edy právnické osoby vykonávající činnost školy či školského zařízení</w:t>
      </w:r>
      <w:r w:rsidR="00674352">
        <w:t>.</w:t>
      </w:r>
    </w:p>
  </w:footnote>
  <w:footnote w:id="3">
    <w:p w14:paraId="220927B3" w14:textId="05034BE8" w:rsidR="00674352" w:rsidRDefault="00674352" w:rsidP="0067435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674352">
        <w:t>Mnoho softwarových balíčků lze dnes koupit pouze přes internet online platbou. V tomto případě je nejjednodušší řešení pořídit ke školnímu bankovnímu účtu platební kartu a uhradit tyto produkty pomocí ní. Je pak irelevantní, zda je platba v cizí měně, z účtu vedeného v českých korunách se částka strhne v Kč. Po zaplacení standardně dodavatelé na email zašlou doklad o zaplacení či fakturu. Na druhou stranu je nepřípustné, aby tyto služby hradili zaměstnanci školy ze svých soukromých účtů.</w:t>
      </w:r>
    </w:p>
  </w:footnote>
  <w:footnote w:id="4">
    <w:p w14:paraId="0E92A5E7" w14:textId="77777777" w:rsidR="00C0405D" w:rsidRDefault="00C0405D" w:rsidP="0067435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Mezi nejvíce využívané školní informační systémy patří: Bakaláři, </w:t>
      </w:r>
      <w:proofErr w:type="spellStart"/>
      <w:r>
        <w:t>Edookit</w:t>
      </w:r>
      <w:proofErr w:type="spellEnd"/>
      <w:r>
        <w:t xml:space="preserve">, Škola </w:t>
      </w:r>
      <w:proofErr w:type="gramStart"/>
      <w:r>
        <w:t>online,</w:t>
      </w:r>
      <w:proofErr w:type="gramEnd"/>
      <w:r>
        <w:t xml:space="preserve"> apod. Více viz NEUMAJER, O. </w:t>
      </w:r>
      <w:r>
        <w:rPr>
          <w:rStyle w:val="Zdraznn"/>
        </w:rPr>
        <w:t>Platformy a systémy pro školní komunikace a spolupráci.</w:t>
      </w:r>
      <w:r>
        <w:t xml:space="preserve"> Řízení školy. Praha: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 xml:space="preserve">, 2020, roč. 17, č. 6, s. 38–41. ISSN 1214-8679. Dostupné na </w:t>
      </w:r>
      <w:hyperlink r:id="rId1" w:history="1">
        <w:r w:rsidRPr="006326A2">
          <w:rPr>
            <w:rStyle w:val="Hypertextovodkaz"/>
          </w:rPr>
          <w:t>https://clanky.rvp.cz/clanek/c/Z/22586/platformy-a-systemy-pro-skolni-komunikaci-a-spolupraci.html/</w:t>
        </w:r>
      </w:hyperlink>
    </w:p>
  </w:footnote>
  <w:footnote w:id="5">
    <w:p w14:paraId="7BCD4D7E" w14:textId="77777777" w:rsidR="004206BD" w:rsidRDefault="004206BD" w:rsidP="0067435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Viz NEUMAJER, O. </w:t>
      </w:r>
      <w:r>
        <w:rPr>
          <w:rStyle w:val="Zdraznn"/>
        </w:rPr>
        <w:t>Platformy a systémy pro školní komunikace a spolupráci.</w:t>
      </w:r>
      <w:r>
        <w:t xml:space="preserve"> Řízení školy. Praha: </w:t>
      </w:r>
      <w:proofErr w:type="spellStart"/>
      <w:r>
        <w:t>Wolters</w:t>
      </w:r>
      <w:proofErr w:type="spellEnd"/>
      <w:r>
        <w:t xml:space="preserve"> </w:t>
      </w:r>
      <w:proofErr w:type="spellStart"/>
      <w:r>
        <w:t>Kluwer</w:t>
      </w:r>
      <w:proofErr w:type="spellEnd"/>
      <w:r>
        <w:t xml:space="preserve">, 2020, roč. 17, č. 6, s. 38–41. ISSN 1214-8679. Dostupné na </w:t>
      </w:r>
      <w:hyperlink r:id="rId2" w:history="1">
        <w:r w:rsidRPr="006326A2">
          <w:rPr>
            <w:rStyle w:val="Hypertextovodkaz"/>
          </w:rPr>
          <w:t>https://clanky.rvp.cz/clanek/c/Z/22586/platformy-a-systemy-pro-skolni-komunikaci-a-spolupraci.html/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54A67" w14:textId="77777777" w:rsidR="004447F5" w:rsidRDefault="004447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7EDDA" w14:textId="77777777" w:rsidR="00976EE5" w:rsidRDefault="00976EE5">
    <w:pPr>
      <w:pStyle w:val="Zhlav"/>
    </w:pPr>
    <w:r w:rsidRPr="00976EE5">
      <w:t>Gremiální porada sekce II</w:t>
    </w:r>
  </w:p>
  <w:p w14:paraId="79629A08" w14:textId="0CB7CF49" w:rsidR="008D7623" w:rsidRDefault="008D7623">
    <w:pPr>
      <w:pStyle w:val="Zhlav"/>
    </w:pPr>
    <w:r>
      <w:t xml:space="preserve">Č.j.: </w:t>
    </w:r>
    <w:r w:rsidRPr="008D7623">
      <w:t>MSMT-25932/2021-1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4E549" w14:textId="77777777" w:rsidR="004447F5" w:rsidRDefault="004447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154F"/>
    <w:multiLevelType w:val="hybridMultilevel"/>
    <w:tmpl w:val="C922A0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E0A8D"/>
    <w:multiLevelType w:val="hybridMultilevel"/>
    <w:tmpl w:val="E40AD24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B5A24"/>
    <w:multiLevelType w:val="hybridMultilevel"/>
    <w:tmpl w:val="A2AE658A"/>
    <w:lvl w:ilvl="0" w:tplc="04F477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B245B"/>
    <w:multiLevelType w:val="hybridMultilevel"/>
    <w:tmpl w:val="D93A0E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36303"/>
    <w:multiLevelType w:val="hybridMultilevel"/>
    <w:tmpl w:val="1C6487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8412B"/>
    <w:multiLevelType w:val="hybridMultilevel"/>
    <w:tmpl w:val="BCDE2E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7AB6"/>
    <w:multiLevelType w:val="hybridMultilevel"/>
    <w:tmpl w:val="D77A10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16670"/>
    <w:multiLevelType w:val="hybridMultilevel"/>
    <w:tmpl w:val="8F3A2C36"/>
    <w:lvl w:ilvl="0" w:tplc="04BE5C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50311"/>
    <w:multiLevelType w:val="hybridMultilevel"/>
    <w:tmpl w:val="E0860D04"/>
    <w:lvl w:ilvl="0" w:tplc="350460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C0E79"/>
    <w:multiLevelType w:val="hybridMultilevel"/>
    <w:tmpl w:val="E26619E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027"/>
    <w:rsid w:val="000074D5"/>
    <w:rsid w:val="000160DB"/>
    <w:rsid w:val="00053BCA"/>
    <w:rsid w:val="00070AE0"/>
    <w:rsid w:val="00096637"/>
    <w:rsid w:val="000B78B9"/>
    <w:rsid w:val="000C4804"/>
    <w:rsid w:val="000E04FF"/>
    <w:rsid w:val="000E3C6A"/>
    <w:rsid w:val="00115AB6"/>
    <w:rsid w:val="00122216"/>
    <w:rsid w:val="00141545"/>
    <w:rsid w:val="00153993"/>
    <w:rsid w:val="00192B24"/>
    <w:rsid w:val="002038F0"/>
    <w:rsid w:val="00217041"/>
    <w:rsid w:val="00243B19"/>
    <w:rsid w:val="00260BBE"/>
    <w:rsid w:val="0028616E"/>
    <w:rsid w:val="00297600"/>
    <w:rsid w:val="002A0C03"/>
    <w:rsid w:val="002A7FD6"/>
    <w:rsid w:val="002E6688"/>
    <w:rsid w:val="002F56FE"/>
    <w:rsid w:val="0035142F"/>
    <w:rsid w:val="003564FF"/>
    <w:rsid w:val="003B291E"/>
    <w:rsid w:val="003B2E4C"/>
    <w:rsid w:val="004206BD"/>
    <w:rsid w:val="0042787A"/>
    <w:rsid w:val="004447F5"/>
    <w:rsid w:val="004540CB"/>
    <w:rsid w:val="00464BF9"/>
    <w:rsid w:val="004A68F7"/>
    <w:rsid w:val="004F1043"/>
    <w:rsid w:val="00522A8D"/>
    <w:rsid w:val="00524465"/>
    <w:rsid w:val="005534AB"/>
    <w:rsid w:val="00564F37"/>
    <w:rsid w:val="00565EE2"/>
    <w:rsid w:val="005C2608"/>
    <w:rsid w:val="005C7B71"/>
    <w:rsid w:val="005E0EF7"/>
    <w:rsid w:val="005E55C7"/>
    <w:rsid w:val="005F56FC"/>
    <w:rsid w:val="006322BC"/>
    <w:rsid w:val="006326A2"/>
    <w:rsid w:val="00632CB2"/>
    <w:rsid w:val="00634A74"/>
    <w:rsid w:val="006732A9"/>
    <w:rsid w:val="00674352"/>
    <w:rsid w:val="006A256A"/>
    <w:rsid w:val="006D094F"/>
    <w:rsid w:val="006D3F9E"/>
    <w:rsid w:val="00767BF2"/>
    <w:rsid w:val="00793659"/>
    <w:rsid w:val="0079700C"/>
    <w:rsid w:val="007D5863"/>
    <w:rsid w:val="007E5BD5"/>
    <w:rsid w:val="00812027"/>
    <w:rsid w:val="0081528C"/>
    <w:rsid w:val="00823350"/>
    <w:rsid w:val="008574BF"/>
    <w:rsid w:val="008945C0"/>
    <w:rsid w:val="008B45DD"/>
    <w:rsid w:val="008C2A8B"/>
    <w:rsid w:val="008D7623"/>
    <w:rsid w:val="009114C7"/>
    <w:rsid w:val="009235DB"/>
    <w:rsid w:val="00923B5B"/>
    <w:rsid w:val="00931CCF"/>
    <w:rsid w:val="009432A7"/>
    <w:rsid w:val="00943301"/>
    <w:rsid w:val="0097286E"/>
    <w:rsid w:val="00976EE5"/>
    <w:rsid w:val="00996A65"/>
    <w:rsid w:val="00A0279A"/>
    <w:rsid w:val="00A07CE4"/>
    <w:rsid w:val="00A2506D"/>
    <w:rsid w:val="00A72852"/>
    <w:rsid w:val="00A871D0"/>
    <w:rsid w:val="00A95574"/>
    <w:rsid w:val="00AB0E9D"/>
    <w:rsid w:val="00AB3E5E"/>
    <w:rsid w:val="00AC5A59"/>
    <w:rsid w:val="00AC6622"/>
    <w:rsid w:val="00AD44C1"/>
    <w:rsid w:val="00AE42B2"/>
    <w:rsid w:val="00AF1E0A"/>
    <w:rsid w:val="00AF2B73"/>
    <w:rsid w:val="00AF2E09"/>
    <w:rsid w:val="00AF4752"/>
    <w:rsid w:val="00AF73EA"/>
    <w:rsid w:val="00B52C17"/>
    <w:rsid w:val="00B572F8"/>
    <w:rsid w:val="00C0405D"/>
    <w:rsid w:val="00C13B77"/>
    <w:rsid w:val="00C24F54"/>
    <w:rsid w:val="00C319D8"/>
    <w:rsid w:val="00C64C6E"/>
    <w:rsid w:val="00C81530"/>
    <w:rsid w:val="00CC0E9F"/>
    <w:rsid w:val="00CD77D6"/>
    <w:rsid w:val="00D933D2"/>
    <w:rsid w:val="00D941EC"/>
    <w:rsid w:val="00E008B9"/>
    <w:rsid w:val="00E36DDF"/>
    <w:rsid w:val="00E64417"/>
    <w:rsid w:val="00E71568"/>
    <w:rsid w:val="00EA240F"/>
    <w:rsid w:val="00EB7FB3"/>
    <w:rsid w:val="00EC072A"/>
    <w:rsid w:val="00EC172D"/>
    <w:rsid w:val="00ED5FDF"/>
    <w:rsid w:val="00F11A76"/>
    <w:rsid w:val="00F20236"/>
    <w:rsid w:val="00F40E5D"/>
    <w:rsid w:val="00F508DB"/>
    <w:rsid w:val="00F737AB"/>
    <w:rsid w:val="00F82E1A"/>
    <w:rsid w:val="00F85BB2"/>
    <w:rsid w:val="00FB6C1C"/>
    <w:rsid w:val="00FB6D96"/>
    <w:rsid w:val="00FC62BE"/>
    <w:rsid w:val="00FD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8BEB5A"/>
  <w15:chartTrackingRefBased/>
  <w15:docId w15:val="{E85A50FA-E190-4C81-8209-2E8FD448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33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933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933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 cíl se seznamem,nad 1,Nad,Odstavec_muj,Odstavec se seznamem1,Název grafu,List Paragraph,Odstavec se seznamem5,Odstavec_muj1,Odstavec_muj2,Odstavec_muj3,Nad1,List Paragraph1,Odstavec_muj4,Nad2,List Paragraph2,Odstavec_muj5,L"/>
    <w:basedOn w:val="Normln"/>
    <w:link w:val="OdstavecseseznamemChar"/>
    <w:uiPriority w:val="34"/>
    <w:qFormat/>
    <w:rsid w:val="00F40E5D"/>
    <w:pPr>
      <w:spacing w:after="0" w:line="240" w:lineRule="auto"/>
      <w:ind w:left="720"/>
    </w:pPr>
    <w:rPr>
      <w:rFonts w:ascii="Calibri" w:hAnsi="Calibri" w:cs="Calibri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737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37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37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37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37A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3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7A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7286E"/>
    <w:pPr>
      <w:spacing w:after="0" w:line="240" w:lineRule="auto"/>
    </w:pPr>
  </w:style>
  <w:style w:type="character" w:customStyle="1" w:styleId="OdstavecseseznamemChar">
    <w:name w:val="Odstavec se seznamem Char"/>
    <w:aliases w:val="Odstavec cíl se seznamem Char,nad 1 Char,Nad Char,Odstavec_muj Char,Odstavec se seznamem1 Char,Název grafu Char,List Paragraph Char,Odstavec se seznamem5 Char,Odstavec_muj1 Char,Odstavec_muj2 Char,Odstavec_muj3 Char,Nad1 Char"/>
    <w:basedOn w:val="Standardnpsmoodstavce"/>
    <w:link w:val="Odstavecseseznamem"/>
    <w:uiPriority w:val="34"/>
    <w:qFormat/>
    <w:locked/>
    <w:rsid w:val="00153993"/>
    <w:rPr>
      <w:rFonts w:ascii="Calibri" w:hAnsi="Calibri" w:cs="Calibri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E04FF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E04FF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C8153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81530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D93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933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933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D7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7623"/>
  </w:style>
  <w:style w:type="paragraph" w:styleId="Zpat">
    <w:name w:val="footer"/>
    <w:basedOn w:val="Normln"/>
    <w:link w:val="ZpatChar"/>
    <w:uiPriority w:val="99"/>
    <w:unhideWhenUsed/>
    <w:rsid w:val="008D7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7623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26A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26A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26A2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326A2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4A68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6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doupe.upol.cz/index.php/digiseznam/23-internet-veci-io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clanky.rvp.cz/clanek/c/Z/22586/platformy-a-systemy-pro-skolni-komunikaci-a-spolupraci.html/" TargetMode="External"/><Relationship Id="rId1" Type="http://schemas.openxmlformats.org/officeDocument/2006/relationships/hyperlink" Target="https://clanky.rvp.cz/clanek/c/Z/22586/platformy-a-systemy-pro-skolni-komunikaci-a-spolupraci.html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60995-7B17-4F3F-AF9B-91E1C8CFE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847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Gregůrková Lucie</dc:creator>
  <cp:keywords/>
  <dc:description/>
  <cp:lastModifiedBy>Gregůrková Lucie</cp:lastModifiedBy>
  <cp:revision>6</cp:revision>
  <dcterms:created xsi:type="dcterms:W3CDTF">2021-10-25T07:03:00Z</dcterms:created>
  <dcterms:modified xsi:type="dcterms:W3CDTF">2021-11-01T13:49:00Z</dcterms:modified>
</cp:coreProperties>
</file>