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2F27C" w14:textId="35475507" w:rsidR="00FE5106" w:rsidRPr="00A42DE4" w:rsidRDefault="006B3687" w:rsidP="00A42DE4">
      <w:pPr>
        <w:tabs>
          <w:tab w:val="left" w:pos="1770"/>
          <w:tab w:val="right" w:pos="9072"/>
        </w:tabs>
        <w:rPr>
          <w:iCs/>
        </w:rPr>
      </w:pPr>
      <w:r w:rsidRPr="006B3687">
        <w:rPr>
          <w:iCs/>
        </w:rPr>
        <w:t>Příloha č. 1 výzvy Určení způsobilosti výdajů</w:t>
      </w:r>
      <w:r w:rsidR="00A42DE4">
        <w:rPr>
          <w:iCs/>
        </w:rPr>
        <w:tab/>
      </w:r>
      <w:r w:rsidR="002964CD" w:rsidRPr="00A42DE4">
        <w:rPr>
          <w:iCs/>
        </w:rPr>
        <w:t xml:space="preserve"> č.j. MSMT-26659/2021-</w:t>
      </w:r>
      <w:r w:rsidR="00F807F6">
        <w:rPr>
          <w:iCs/>
        </w:rPr>
        <w:t>10</w:t>
      </w:r>
    </w:p>
    <w:p w14:paraId="67E32209" w14:textId="77777777" w:rsidR="00FE5106" w:rsidRPr="00FE5106" w:rsidRDefault="00FE5106" w:rsidP="00FE5106">
      <w:pPr>
        <w:tabs>
          <w:tab w:val="left" w:pos="284"/>
        </w:tabs>
        <w:spacing w:after="0" w:line="240" w:lineRule="auto"/>
        <w:jc w:val="center"/>
        <w:outlineLvl w:val="0"/>
        <w:rPr>
          <w:rFonts w:eastAsia="Times New Roman" w:cstheme="minorHAnsi"/>
          <w:b/>
          <w:sz w:val="36"/>
          <w:szCs w:val="36"/>
          <w:lang w:eastAsia="cs-CZ"/>
        </w:rPr>
      </w:pPr>
      <w:r w:rsidRPr="00FE5106">
        <w:rPr>
          <w:rFonts w:eastAsia="Times New Roman" w:cstheme="minorHAnsi"/>
          <w:b/>
          <w:sz w:val="36"/>
          <w:szCs w:val="36"/>
          <w:lang w:eastAsia="cs-CZ"/>
        </w:rPr>
        <w:t>Určení způsobilosti výdajů</w:t>
      </w:r>
    </w:p>
    <w:p w14:paraId="0F9D9D72" w14:textId="77777777" w:rsidR="00FE5106" w:rsidRDefault="00FE5106" w:rsidP="00FE51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</w:p>
    <w:p w14:paraId="25903006" w14:textId="3ECC1409" w:rsidR="00FE5106" w:rsidRPr="00614472" w:rsidRDefault="453CD58F" w:rsidP="00FE5106">
      <w:pPr>
        <w:spacing w:before="240" w:after="0" w:line="240" w:lineRule="auto"/>
        <w:contextualSpacing/>
        <w:jc w:val="both"/>
        <w:rPr>
          <w:rFonts w:ascii="Calibri" w:hAnsi="Calibri" w:cs="Calibri"/>
        </w:rPr>
      </w:pPr>
      <w:r w:rsidRPr="37D2F4C1">
        <w:t xml:space="preserve">Konkrétní výdaje musí být vynaloženy v souladu s věcným zaměřením výzvy a účelem dotace v žádosti o dotaci (včetně výdajů uskutečněných před podáním žádosti o dotaci).  </w:t>
      </w:r>
      <w:r w:rsidRPr="37D2F4C1">
        <w:rPr>
          <w:rFonts w:ascii="Calibri" w:hAnsi="Calibri" w:cs="Calibri"/>
        </w:rPr>
        <w:t xml:space="preserve">Každý způsobilý výdaj musí být prokazatelně nezbytný pro realizaci Investice a mít přímý vztah k účelu dotace.  </w:t>
      </w:r>
      <w:r w:rsidR="37D2F4C1" w:rsidRPr="37D2F4C1">
        <w:rPr>
          <w:rFonts w:ascii="Calibri" w:hAnsi="Calibri" w:cs="Calibri"/>
        </w:rPr>
        <w:t>Konečná výše dotace, která je příjemci dotace poskytnuta, je stanovena na základě vzniklých, odůvodněných a řádně prokázaných výdajů.</w:t>
      </w:r>
      <w:r w:rsidRPr="37D2F4C1">
        <w:rPr>
          <w:rFonts w:ascii="Calibri" w:hAnsi="Calibri" w:cs="Calibri"/>
        </w:rPr>
        <w:t xml:space="preserve"> Výdaj musí být v souladu s věcným zaměřením výzvy a podmínkami danými rozhodnutím</w:t>
      </w:r>
      <w:r w:rsidR="00DC6F6F">
        <w:rPr>
          <w:rFonts w:ascii="Calibri" w:hAnsi="Calibri" w:cs="Calibri"/>
        </w:rPr>
        <w:t xml:space="preserve"> o poskytnutí dotace (dále jen „rozhodnutím“)</w:t>
      </w:r>
      <w:r w:rsidRPr="37D2F4C1">
        <w:rPr>
          <w:rFonts w:ascii="Calibri" w:hAnsi="Calibri" w:cs="Calibri"/>
        </w:rPr>
        <w:t xml:space="preserve">. </w:t>
      </w:r>
    </w:p>
    <w:p w14:paraId="278F295A" w14:textId="77777777" w:rsidR="00FE5106" w:rsidRPr="00D51EBA" w:rsidRDefault="00FE5106" w:rsidP="00FE510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3A322D00" w14:textId="77777777" w:rsidR="00FE5106" w:rsidRPr="00731C62" w:rsidRDefault="00FE5106" w:rsidP="00731C62">
      <w:pPr>
        <w:pStyle w:val="Odstavecseseznamem"/>
        <w:numPr>
          <w:ilvl w:val="0"/>
          <w:numId w:val="16"/>
        </w:numPr>
        <w:tabs>
          <w:tab w:val="left" w:pos="284"/>
        </w:tabs>
        <w:spacing w:after="0" w:line="240" w:lineRule="auto"/>
        <w:jc w:val="both"/>
        <w:outlineLvl w:val="0"/>
        <w:rPr>
          <w:rFonts w:eastAsia="Times New Roman" w:cstheme="minorHAnsi"/>
          <w:b/>
          <w:sz w:val="28"/>
          <w:szCs w:val="28"/>
          <w:lang w:eastAsia="cs-CZ"/>
        </w:rPr>
      </w:pPr>
      <w:r w:rsidRPr="00731C62">
        <w:rPr>
          <w:rFonts w:eastAsia="Times New Roman" w:cstheme="minorHAnsi"/>
          <w:b/>
          <w:sz w:val="28"/>
          <w:szCs w:val="28"/>
          <w:lang w:eastAsia="cs-CZ"/>
        </w:rPr>
        <w:t>Způsobilé výdaje</w:t>
      </w:r>
    </w:p>
    <w:p w14:paraId="31F52188" w14:textId="77777777" w:rsidR="00FE5106" w:rsidRPr="00830138" w:rsidRDefault="00FE5106" w:rsidP="00FE5106">
      <w:pPr>
        <w:pStyle w:val="Odstavecseseznamem"/>
        <w:tabs>
          <w:tab w:val="left" w:pos="284"/>
        </w:tabs>
        <w:spacing w:after="0" w:line="240" w:lineRule="auto"/>
        <w:ind w:left="792"/>
        <w:jc w:val="both"/>
        <w:outlineLvl w:val="0"/>
        <w:rPr>
          <w:rFonts w:ascii="Calibri" w:hAnsi="Calibri" w:cs="Calibri"/>
          <w:color w:val="000000"/>
          <w:sz w:val="28"/>
          <w:szCs w:val="28"/>
        </w:rPr>
      </w:pPr>
    </w:p>
    <w:p w14:paraId="241431A7" w14:textId="77777777" w:rsidR="00FE5106" w:rsidRDefault="00FE5106" w:rsidP="00FE51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51EBA">
        <w:rPr>
          <w:rFonts w:ascii="Calibri" w:hAnsi="Calibri" w:cs="Calibri"/>
          <w:color w:val="000000"/>
        </w:rPr>
        <w:t>Aby mohl být výdaj považován za způsobilý, musí být níže uvedené podmínky naplněny kumulativně:</w:t>
      </w:r>
    </w:p>
    <w:p w14:paraId="35C1A5F1" w14:textId="77777777" w:rsidR="00FE5106" w:rsidRPr="00D51EBA" w:rsidRDefault="00FE5106" w:rsidP="00FE51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51EBA">
        <w:rPr>
          <w:rFonts w:ascii="Calibri" w:hAnsi="Calibri" w:cs="Calibri"/>
          <w:color w:val="000000"/>
        </w:rPr>
        <w:t xml:space="preserve"> </w:t>
      </w:r>
    </w:p>
    <w:p w14:paraId="6107D2F5" w14:textId="70E9865E" w:rsidR="00FE5106" w:rsidRPr="009169A8" w:rsidRDefault="453CD58F" w:rsidP="00244A49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58" w:line="240" w:lineRule="auto"/>
        <w:jc w:val="both"/>
        <w:rPr>
          <w:rFonts w:eastAsiaTheme="minorEastAsia"/>
          <w:color w:val="000000"/>
        </w:rPr>
      </w:pPr>
      <w:r w:rsidRPr="37D2F4C1">
        <w:rPr>
          <w:rFonts w:ascii="Calibri" w:hAnsi="Calibri" w:cs="Calibri"/>
          <w:color w:val="000000" w:themeColor="text1"/>
        </w:rPr>
        <w:t>musí mít vazbu na komponentu 3</w:t>
      </w:r>
      <w:r w:rsidR="37D2F4C1" w:rsidRPr="37D2F4C1">
        <w:rPr>
          <w:rFonts w:ascii="Calibri" w:hAnsi="Calibri" w:cs="Calibri"/>
          <w:color w:val="000000" w:themeColor="text1"/>
        </w:rPr>
        <w:t xml:space="preserve">.2 Adaptace kapacity a zaměření školních programů – část 3.2.4 Investice do rozvoje vybraných klíčových akademických pracovišť </w:t>
      </w:r>
      <w:r w:rsidRPr="37D2F4C1">
        <w:rPr>
          <w:rFonts w:ascii="Calibri" w:hAnsi="Calibri" w:cs="Calibri"/>
          <w:color w:val="000000" w:themeColor="text1"/>
        </w:rPr>
        <w:t xml:space="preserve">Národního plán plánu obnovy; </w:t>
      </w:r>
    </w:p>
    <w:p w14:paraId="0434FAFE" w14:textId="6914B7A3" w:rsidR="00FE5106" w:rsidRPr="00D13C3B" w:rsidRDefault="453CD58F" w:rsidP="00244A49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58" w:line="240" w:lineRule="auto"/>
        <w:jc w:val="both"/>
        <w:rPr>
          <w:rFonts w:eastAsiaTheme="minorEastAsia"/>
          <w:color w:val="000000"/>
        </w:rPr>
      </w:pPr>
      <w:r w:rsidRPr="37D2F4C1">
        <w:rPr>
          <w:rFonts w:ascii="Calibri" w:hAnsi="Calibri" w:cs="Calibri"/>
          <w:color w:val="000000" w:themeColor="text1"/>
        </w:rPr>
        <w:t>musí být v souladu s právními předpisy Evropské unie a České republiky,</w:t>
      </w:r>
    </w:p>
    <w:p w14:paraId="740D4B8F" w14:textId="77777777" w:rsidR="00FE5106" w:rsidRPr="009169A8" w:rsidRDefault="00FE5106" w:rsidP="00244A49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58" w:line="240" w:lineRule="auto"/>
        <w:jc w:val="both"/>
        <w:rPr>
          <w:rFonts w:ascii="Calibri" w:hAnsi="Calibri" w:cs="Calibri"/>
          <w:color w:val="000000"/>
        </w:rPr>
      </w:pPr>
      <w:r w:rsidRPr="009169A8">
        <w:rPr>
          <w:rFonts w:ascii="Calibri" w:hAnsi="Calibri" w:cs="Calibri"/>
          <w:color w:val="000000"/>
        </w:rPr>
        <w:t>musí být přiměřený, tj. musí být vynaložen v souladu s principy hospodárnosti, účelnosti a efektivnosti</w:t>
      </w:r>
      <w:r>
        <w:rPr>
          <w:rFonts w:ascii="Calibri" w:hAnsi="Calibri" w:cs="Calibri"/>
          <w:color w:val="000000"/>
        </w:rPr>
        <w:t>,</w:t>
      </w:r>
      <w:r w:rsidRPr="009169A8">
        <w:rPr>
          <w:rFonts w:ascii="Calibri" w:hAnsi="Calibri" w:cs="Calibri"/>
          <w:color w:val="000000"/>
        </w:rPr>
        <w:t xml:space="preserve"> </w:t>
      </w:r>
    </w:p>
    <w:p w14:paraId="3D18A8F5" w14:textId="77777777" w:rsidR="00FE5106" w:rsidRDefault="00FE5106" w:rsidP="00244A49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9169A8">
        <w:rPr>
          <w:rFonts w:ascii="Calibri" w:hAnsi="Calibri" w:cs="Calibri"/>
          <w:color w:val="000000"/>
        </w:rPr>
        <w:t>musí být řádně identifikovatelný, prokazatelný a doložitelný</w:t>
      </w:r>
      <w:r>
        <w:rPr>
          <w:rFonts w:ascii="Calibri" w:hAnsi="Calibri" w:cs="Calibri"/>
          <w:color w:val="000000"/>
        </w:rPr>
        <w:t>,</w:t>
      </w:r>
    </w:p>
    <w:p w14:paraId="6B124FBE" w14:textId="77777777" w:rsidR="00DC6F6F" w:rsidRDefault="00FE5106" w:rsidP="00244A49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9169A8">
        <w:rPr>
          <w:rFonts w:ascii="Calibri" w:hAnsi="Calibri" w:cs="Calibri"/>
          <w:color w:val="000000"/>
        </w:rPr>
        <w:t>musí být v souladu s pravidly NPO</w:t>
      </w:r>
      <w:r w:rsidR="00E65954">
        <w:rPr>
          <w:rStyle w:val="Znakapoznpodarou"/>
          <w:rFonts w:ascii="Calibri" w:hAnsi="Calibri" w:cs="Calibri"/>
          <w:color w:val="000000"/>
        </w:rPr>
        <w:footnoteReference w:id="2"/>
      </w:r>
      <w:r w:rsidR="00DC6F6F">
        <w:rPr>
          <w:rFonts w:ascii="Calibri" w:hAnsi="Calibri" w:cs="Calibri"/>
          <w:color w:val="000000"/>
        </w:rPr>
        <w:t>,</w:t>
      </w:r>
    </w:p>
    <w:p w14:paraId="452ED0EA" w14:textId="7C9829F9" w:rsidR="00E65954" w:rsidRDefault="00FE5106" w:rsidP="00244A49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9169A8">
        <w:rPr>
          <w:rFonts w:ascii="Calibri" w:hAnsi="Calibri" w:cs="Calibri"/>
          <w:color w:val="000000"/>
        </w:rPr>
        <w:t>podmínkami pro poskytnutí a čerpání dotace stanovenými v</w:t>
      </w:r>
      <w:r>
        <w:rPr>
          <w:rFonts w:ascii="Calibri" w:hAnsi="Calibri" w:cs="Calibri"/>
          <w:color w:val="000000"/>
        </w:rPr>
        <w:t> </w:t>
      </w:r>
      <w:r w:rsidRPr="009169A8">
        <w:rPr>
          <w:rFonts w:ascii="Calibri" w:hAnsi="Calibri" w:cs="Calibri"/>
          <w:color w:val="000000"/>
        </w:rPr>
        <w:t>rozhodnutí</w:t>
      </w:r>
      <w:r w:rsidR="00E65954">
        <w:rPr>
          <w:rFonts w:ascii="Calibri" w:hAnsi="Calibri" w:cs="Calibri"/>
          <w:color w:val="000000"/>
        </w:rPr>
        <w:t>,</w:t>
      </w:r>
    </w:p>
    <w:p w14:paraId="35797ACA" w14:textId="77777777" w:rsidR="00E65954" w:rsidRDefault="00E65954" w:rsidP="00E65954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p</w:t>
      </w:r>
      <w:r w:rsidRPr="00E65954">
        <w:rPr>
          <w:color w:val="000000" w:themeColor="text1"/>
        </w:rPr>
        <w:t>říjemce dotace je povinen předcházet situacím, které by mohly vést k závažným nesrovnalostem, tj. podvodům, korupci, střetu zájmů, dvojímu financování, případně k jiným typům incidentu při provádění aktivit uvedených v návrhu Investice, které by byly v rozporu se samotným Nařízením Evropského parlamentu a Rady (EU) 2021/241 ze dne 12. února 2021, kterým se zřizuje Nástroj pro oživení a odolnost, nebo s právem České republiky či Evropské unie</w:t>
      </w:r>
      <w:r>
        <w:rPr>
          <w:rStyle w:val="Znakapoznpodarou"/>
          <w:color w:val="000000" w:themeColor="text1"/>
        </w:rPr>
        <w:footnoteReference w:id="3"/>
      </w:r>
      <w:r>
        <w:rPr>
          <w:color w:val="000000" w:themeColor="text1"/>
        </w:rPr>
        <w:t>,</w:t>
      </w:r>
    </w:p>
    <w:p w14:paraId="76168A27" w14:textId="43764D48" w:rsidR="00FE5106" w:rsidRPr="00280364" w:rsidRDefault="00E65954" w:rsidP="00E65954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příjemce dotace</w:t>
      </w:r>
      <w:r w:rsidRPr="000B62CE">
        <w:rPr>
          <w:color w:val="000000" w:themeColor="text1"/>
        </w:rPr>
        <w:t xml:space="preserve"> </w:t>
      </w:r>
      <w:r>
        <w:t>je odpovědný za nastavení takového systému, který zajistí efektivní naplnění principu „významně nepoškozovat“ („do no singnificant harm“, „DNSH“)</w:t>
      </w:r>
      <w:r>
        <w:rPr>
          <w:rStyle w:val="Znakapoznpodarou"/>
        </w:rPr>
        <w:footnoteReference w:id="4"/>
      </w:r>
      <w:r>
        <w:t>.</w:t>
      </w:r>
      <w:r w:rsidR="00FE5106" w:rsidRPr="00280364">
        <w:rPr>
          <w:rFonts w:ascii="Calibri" w:hAnsi="Calibri" w:cs="Calibri"/>
          <w:color w:val="000000"/>
        </w:rPr>
        <w:t xml:space="preserve"> </w:t>
      </w:r>
    </w:p>
    <w:p w14:paraId="59BF017D" w14:textId="06E6E99D" w:rsidR="00FE5106" w:rsidRDefault="00FE5106" w:rsidP="00FE5106">
      <w:pPr>
        <w:autoSpaceDE w:val="0"/>
        <w:autoSpaceDN w:val="0"/>
        <w:adjustRightInd w:val="0"/>
        <w:spacing w:before="240" w:line="240" w:lineRule="auto"/>
        <w:jc w:val="both"/>
        <w:rPr>
          <w:rFonts w:cstheme="minorHAnsi"/>
        </w:rPr>
      </w:pPr>
      <w:r w:rsidRPr="00325476">
        <w:rPr>
          <w:rFonts w:cstheme="minorHAnsi"/>
          <w:iCs/>
        </w:rPr>
        <w:t xml:space="preserve">Způsobilý výdaj jednoznačně prokazuje schopnost dosažení cíle </w:t>
      </w:r>
      <w:r w:rsidRPr="00325476">
        <w:rPr>
          <w:rFonts w:cstheme="minorHAnsi"/>
        </w:rPr>
        <w:t xml:space="preserve">Investice </w:t>
      </w:r>
      <w:r w:rsidR="00280364">
        <w:rPr>
          <w:rFonts w:cstheme="minorHAnsi"/>
        </w:rPr>
        <w:t>realizované</w:t>
      </w:r>
      <w:r w:rsidR="00280364" w:rsidRPr="00325476">
        <w:rPr>
          <w:rFonts w:cstheme="minorHAnsi"/>
        </w:rPr>
        <w:t xml:space="preserve"> </w:t>
      </w:r>
      <w:r w:rsidRPr="00325476">
        <w:rPr>
          <w:rFonts w:cstheme="minorHAnsi"/>
        </w:rPr>
        <w:t>v </w:t>
      </w:r>
      <w:r w:rsidR="0061258C">
        <w:rPr>
          <w:rFonts w:cstheme="minorHAnsi"/>
        </w:rPr>
        <w:t>souladu s</w:t>
      </w:r>
      <w:r w:rsidR="00DC6F6F">
        <w:rPr>
          <w:rFonts w:cstheme="minorHAnsi"/>
        </w:rPr>
        <w:t> </w:t>
      </w:r>
      <w:r w:rsidR="0061258C">
        <w:rPr>
          <w:rFonts w:cstheme="minorHAnsi"/>
        </w:rPr>
        <w:t>pravidly</w:t>
      </w:r>
      <w:r w:rsidR="0061258C" w:rsidRPr="00325476">
        <w:rPr>
          <w:rFonts w:cstheme="minorHAnsi"/>
        </w:rPr>
        <w:t xml:space="preserve"> </w:t>
      </w:r>
      <w:r w:rsidRPr="00325476">
        <w:rPr>
          <w:rFonts w:cstheme="minorHAnsi"/>
        </w:rPr>
        <w:t xml:space="preserve">NPO, kdy prostřednictvím </w:t>
      </w:r>
      <w:r>
        <w:rPr>
          <w:rFonts w:cstheme="minorHAnsi"/>
        </w:rPr>
        <w:t xml:space="preserve">realizace tří </w:t>
      </w:r>
      <w:r w:rsidRPr="00325476">
        <w:rPr>
          <w:rFonts w:cstheme="minorHAnsi"/>
        </w:rPr>
        <w:t xml:space="preserve">jmenovitě určených projektů musí být k 30. 6. 2026 vybudováno minimálně </w:t>
      </w:r>
      <w:r w:rsidRPr="00325476">
        <w:rPr>
          <w:rFonts w:cstheme="minorHAnsi"/>
          <w:b/>
          <w:bCs/>
        </w:rPr>
        <w:t>100 000 m</w:t>
      </w:r>
      <w:r w:rsidRPr="00325476">
        <w:rPr>
          <w:rFonts w:cstheme="minorHAnsi"/>
          <w:b/>
          <w:bCs/>
          <w:vertAlign w:val="superscript"/>
        </w:rPr>
        <w:t>2</w:t>
      </w:r>
      <w:r w:rsidRPr="00325476">
        <w:rPr>
          <w:rFonts w:cstheme="minorHAnsi"/>
          <w:b/>
          <w:bCs/>
        </w:rPr>
        <w:t xml:space="preserve"> užitné plochy</w:t>
      </w:r>
      <w:r w:rsidRPr="00325476">
        <w:rPr>
          <w:rFonts w:cstheme="minorHAnsi"/>
        </w:rPr>
        <w:t xml:space="preserve">. </w:t>
      </w:r>
    </w:p>
    <w:p w14:paraId="639CE4C1" w14:textId="77777777" w:rsidR="003E2A66" w:rsidRPr="00325476" w:rsidRDefault="003E2A66" w:rsidP="00FE5106">
      <w:pPr>
        <w:autoSpaceDE w:val="0"/>
        <w:autoSpaceDN w:val="0"/>
        <w:adjustRightInd w:val="0"/>
        <w:spacing w:before="240" w:line="240" w:lineRule="auto"/>
        <w:jc w:val="both"/>
        <w:rPr>
          <w:rFonts w:cstheme="minorHAnsi"/>
        </w:rPr>
      </w:pPr>
    </w:p>
    <w:p w14:paraId="0FA8F40D" w14:textId="2F93814E" w:rsidR="00FE5106" w:rsidRPr="00506B6B" w:rsidRDefault="453CD58F" w:rsidP="002A7D43">
      <w:pPr>
        <w:pStyle w:val="Odstavecseseznamem"/>
        <w:numPr>
          <w:ilvl w:val="1"/>
          <w:numId w:val="16"/>
        </w:numPr>
        <w:tabs>
          <w:tab w:val="left" w:pos="284"/>
        </w:tabs>
        <w:spacing w:after="0" w:line="240" w:lineRule="auto"/>
        <w:ind w:left="567"/>
        <w:jc w:val="both"/>
        <w:outlineLvl w:val="0"/>
        <w:rPr>
          <w:rFonts w:eastAsia="Times New Roman"/>
          <w:b/>
          <w:bCs/>
          <w:lang w:eastAsia="cs-CZ"/>
        </w:rPr>
      </w:pPr>
      <w:r w:rsidRPr="00506B6B">
        <w:rPr>
          <w:rFonts w:eastAsia="Times New Roman"/>
          <w:b/>
          <w:bCs/>
          <w:sz w:val="28"/>
          <w:szCs w:val="28"/>
          <w:lang w:eastAsia="cs-CZ"/>
        </w:rPr>
        <w:lastRenderedPageBreak/>
        <w:t xml:space="preserve">Časová způsobilost výdaje </w:t>
      </w:r>
    </w:p>
    <w:p w14:paraId="5FA74FD1" w14:textId="77777777" w:rsidR="00FE5106" w:rsidRPr="00055C8D" w:rsidRDefault="00FE5106" w:rsidP="00FE5106">
      <w:pPr>
        <w:pStyle w:val="Odstavecseseznamem"/>
        <w:spacing w:after="0" w:line="240" w:lineRule="auto"/>
        <w:jc w:val="both"/>
        <w:rPr>
          <w:rFonts w:cstheme="minorHAnsi"/>
        </w:rPr>
      </w:pPr>
    </w:p>
    <w:p w14:paraId="30ADEE80" w14:textId="436D739D" w:rsidR="00FE5106" w:rsidRPr="00CD11FF" w:rsidRDefault="45136B8A" w:rsidP="3D31F885">
      <w:pPr>
        <w:spacing w:after="0" w:line="240" w:lineRule="auto"/>
        <w:contextualSpacing/>
        <w:jc w:val="both"/>
      </w:pPr>
      <w:r>
        <w:t xml:space="preserve">Způsobilými výdaji jsou výdaje vzniklé v průběhu realizace Investice, </w:t>
      </w:r>
      <w:r w:rsidRPr="1B6C9D22">
        <w:rPr>
          <w:b/>
          <w:bCs/>
        </w:rPr>
        <w:t xml:space="preserve">nejdříve </w:t>
      </w:r>
      <w:r>
        <w:t>však</w:t>
      </w:r>
      <w:r w:rsidRPr="1B6C9D22">
        <w:rPr>
          <w:b/>
          <w:bCs/>
        </w:rPr>
        <w:t xml:space="preserve"> 1. 2. 2020</w:t>
      </w:r>
      <w:r>
        <w:t>.</w:t>
      </w:r>
    </w:p>
    <w:p w14:paraId="713B1D25" w14:textId="587076AC" w:rsidR="00DC6F6F" w:rsidRPr="00DC6F6F" w:rsidRDefault="453CD58F" w:rsidP="00280364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</w:rPr>
      </w:pPr>
      <w:r w:rsidRPr="3D31F885">
        <w:t xml:space="preserve">Z časového hlediska jsou </w:t>
      </w:r>
      <w:r w:rsidR="004367CF">
        <w:t>náklady</w:t>
      </w:r>
      <w:r w:rsidR="004367CF" w:rsidRPr="3D31F885">
        <w:t xml:space="preserve"> </w:t>
      </w:r>
      <w:r w:rsidRPr="3D31F885">
        <w:t xml:space="preserve">způsobilé, pokud </w:t>
      </w:r>
      <w:r w:rsidR="004367CF">
        <w:t>vznikly</w:t>
      </w:r>
      <w:r w:rsidRPr="3D31F885">
        <w:t xml:space="preserve"> v průběhu realizace Investice, přičemž doba realizace Investice je přesně definována v rozhodnutí. Za způsobilé lze považovat také výdaje, které realizaci Investice předcházejí a jsou pro realizaci Investice nezbytné</w:t>
      </w:r>
      <w:r w:rsidR="00FE5106" w:rsidRPr="3D31F885">
        <w:rPr>
          <w:rStyle w:val="Znakapoznpodarou"/>
        </w:rPr>
        <w:footnoteReference w:id="5"/>
      </w:r>
      <w:r w:rsidRPr="3D31F885">
        <w:t xml:space="preserve"> </w:t>
      </w:r>
      <w:r w:rsidR="00B25B2E">
        <w:br/>
      </w:r>
      <w:r w:rsidRPr="3D31F885">
        <w:t xml:space="preserve">(např. výdaje spojené s přípravou projektové dokumentace apod.). </w:t>
      </w:r>
    </w:p>
    <w:p w14:paraId="1FC18003" w14:textId="23578FFA" w:rsidR="00FE5106" w:rsidRPr="00280364" w:rsidRDefault="45136B8A" w:rsidP="00280364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</w:rPr>
      </w:pPr>
      <w:r>
        <w:t xml:space="preserve">Příjemce je povinen v rámci Zprávy o plnění cílů Investice doložit způsobilé výdaje nárokované pro danou Investici příslušným účetním dokladem, popřípadě další podpůrnou dokumentací. Výdaje, byť z věcného hlediska způsobilé, které nejsou řádně doložené, jsou vždy považovány za výdaje nezpůsobilé. </w:t>
      </w:r>
      <w:r w:rsidRPr="00280364">
        <w:rPr>
          <w:rFonts w:ascii="Calibri" w:hAnsi="Calibri" w:cs="Calibri"/>
        </w:rPr>
        <w:t xml:space="preserve">Před vydáním rozhodnutí může být uzavřena smlouva s dodavatelem/dodavateli při dodržení podmínky časové způsobilosti výdajů. </w:t>
      </w:r>
    </w:p>
    <w:p w14:paraId="5D58B433" w14:textId="3A40B596" w:rsidR="00FE5106" w:rsidRPr="007E3312" w:rsidRDefault="453CD58F" w:rsidP="3D31F885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</w:pPr>
      <w:r w:rsidRPr="3D31F885">
        <w:t>V případě, že jsou výdaje Investice realizovány v rámci smlouvy, kterou má příjemce povinnost dle zákona o registru smluv</w:t>
      </w:r>
      <w:r w:rsidR="00FE5106" w:rsidRPr="3D31F885">
        <w:rPr>
          <w:rStyle w:val="Znakapoznpodarou"/>
        </w:rPr>
        <w:footnoteReference w:id="6"/>
      </w:r>
      <w:r w:rsidRPr="3D31F885">
        <w:t xml:space="preserve"> uveřejnit v registru smluv, dokládá příjemce v rámci žádosti o platbu dokument prokazující splnění této zákonné povinnosti. Pokud dojde k nesplnění zákonné povinnosti, související výdaje budou považovány za nezpůsobilé</w:t>
      </w:r>
      <w:r w:rsidR="00FE5106" w:rsidRPr="37D2F4C1">
        <w:rPr>
          <w:vertAlign w:val="superscript"/>
        </w:rPr>
        <w:footnoteReference w:id="7"/>
      </w:r>
      <w:r w:rsidRPr="3D31F885">
        <w:t>.</w:t>
      </w:r>
    </w:p>
    <w:p w14:paraId="2F0602D0" w14:textId="77777777" w:rsidR="00FE5106" w:rsidRDefault="00FE5106" w:rsidP="00FE5106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bCs/>
          <w:color w:val="000000"/>
        </w:rPr>
      </w:pPr>
    </w:p>
    <w:p w14:paraId="7A8C97D3" w14:textId="77777777" w:rsidR="002A7D43" w:rsidRDefault="00FE5106" w:rsidP="002A7D43">
      <w:pPr>
        <w:pStyle w:val="Odstavecseseznamem"/>
        <w:numPr>
          <w:ilvl w:val="1"/>
          <w:numId w:val="16"/>
        </w:numPr>
        <w:tabs>
          <w:tab w:val="left" w:pos="284"/>
        </w:tabs>
        <w:spacing w:after="0" w:line="240" w:lineRule="auto"/>
        <w:ind w:left="567"/>
        <w:jc w:val="both"/>
        <w:outlineLvl w:val="0"/>
        <w:rPr>
          <w:rFonts w:eastAsia="Times New Roman" w:cstheme="minorHAnsi"/>
          <w:b/>
          <w:sz w:val="28"/>
          <w:szCs w:val="28"/>
          <w:lang w:eastAsia="cs-CZ"/>
        </w:rPr>
      </w:pPr>
      <w:r w:rsidRPr="00731C62">
        <w:rPr>
          <w:rFonts w:eastAsia="Times New Roman" w:cstheme="minorHAnsi"/>
          <w:b/>
          <w:sz w:val="28"/>
          <w:szCs w:val="28"/>
          <w:lang w:eastAsia="cs-CZ"/>
        </w:rPr>
        <w:t>Věcná způsobilost výdaje</w:t>
      </w:r>
    </w:p>
    <w:p w14:paraId="14A6A9D3" w14:textId="6B1AB487" w:rsidR="00FE5106" w:rsidRDefault="00FE5106" w:rsidP="002A7D43">
      <w:pPr>
        <w:pStyle w:val="Odstavecseseznamem"/>
        <w:tabs>
          <w:tab w:val="left" w:pos="284"/>
        </w:tabs>
        <w:spacing w:after="0" w:line="240" w:lineRule="auto"/>
        <w:ind w:left="792"/>
        <w:jc w:val="both"/>
        <w:rPr>
          <w:rFonts w:eastAsia="Times New Roman" w:cstheme="minorHAnsi"/>
          <w:b/>
          <w:sz w:val="28"/>
          <w:szCs w:val="28"/>
          <w:lang w:eastAsia="cs-CZ"/>
        </w:rPr>
      </w:pPr>
      <w:r w:rsidRPr="00731C62">
        <w:rPr>
          <w:rFonts w:eastAsia="Times New Roman" w:cstheme="minorHAnsi"/>
          <w:b/>
          <w:sz w:val="28"/>
          <w:szCs w:val="28"/>
          <w:lang w:eastAsia="cs-CZ"/>
        </w:rPr>
        <w:t xml:space="preserve"> </w:t>
      </w:r>
    </w:p>
    <w:p w14:paraId="58CDC956" w14:textId="77777777" w:rsidR="00FE5106" w:rsidRPr="00731C62" w:rsidRDefault="00FE5106" w:rsidP="002A7D43">
      <w:pPr>
        <w:pStyle w:val="Odstavecseseznamem"/>
        <w:numPr>
          <w:ilvl w:val="2"/>
          <w:numId w:val="16"/>
        </w:numPr>
        <w:tabs>
          <w:tab w:val="left" w:pos="284"/>
        </w:tabs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cs-CZ"/>
        </w:rPr>
      </w:pPr>
      <w:r w:rsidRPr="00731C62">
        <w:rPr>
          <w:rFonts w:eastAsia="Times New Roman" w:cstheme="minorHAnsi"/>
          <w:b/>
          <w:sz w:val="28"/>
          <w:szCs w:val="28"/>
          <w:lang w:eastAsia="cs-CZ"/>
        </w:rPr>
        <w:t xml:space="preserve">Přiměřenost výdaje </w:t>
      </w:r>
    </w:p>
    <w:p w14:paraId="69B1BF3B" w14:textId="77777777" w:rsidR="00FE5106" w:rsidRPr="00732E5A" w:rsidRDefault="00FE5106" w:rsidP="00731C62">
      <w:pPr>
        <w:spacing w:before="240" w:after="0" w:line="240" w:lineRule="auto"/>
        <w:jc w:val="both"/>
        <w:rPr>
          <w:rFonts w:cstheme="minorHAnsi"/>
        </w:rPr>
      </w:pPr>
      <w:r w:rsidRPr="00732E5A">
        <w:rPr>
          <w:rFonts w:cstheme="minorHAnsi"/>
        </w:rPr>
        <w:t>Přiměřeností výdaje se rozumí dosažení optimálního vztahu mezi jeho hospodárností, účelností a</w:t>
      </w:r>
      <w:r>
        <w:rPr>
          <w:rFonts w:cstheme="minorHAnsi"/>
        </w:rPr>
        <w:t> </w:t>
      </w:r>
      <w:r w:rsidRPr="00732E5A">
        <w:rPr>
          <w:rFonts w:cstheme="minorHAnsi"/>
        </w:rPr>
        <w:t xml:space="preserve">efektivností. </w:t>
      </w:r>
    </w:p>
    <w:p w14:paraId="63023637" w14:textId="77777777" w:rsidR="00FE5106" w:rsidRPr="00614472" w:rsidRDefault="00FE5106" w:rsidP="00FE5106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732E5A">
        <w:rPr>
          <w:rFonts w:cstheme="minorHAnsi"/>
          <w:b/>
        </w:rPr>
        <w:t>Hospodárnost</w:t>
      </w:r>
      <w:r w:rsidRPr="00614472">
        <w:rPr>
          <w:rFonts w:cstheme="minorHAnsi"/>
        </w:rPr>
        <w:t xml:space="preserve"> – použití prostředků k zajištění stanovených úkolů s přiměřenou mírou vynaložených prostředků, a to při dodržení odpovídající kvality. Zásada je zpravidla naplněna transparentním postupem při výběru dodavatelů (dle zákona č. 134/2016 Sb., o zadávání veřejných zakázek, ve znění pozdějších předpisů), řádným stanovením předpokládané hodnoty veřejné zakázky a porovnáním v daném okamžiku srovnatelných nabídek. </w:t>
      </w:r>
    </w:p>
    <w:p w14:paraId="66E6B884" w14:textId="165E16EA" w:rsidR="00FE5106" w:rsidRPr="00614472" w:rsidRDefault="00FE5106" w:rsidP="00FE5106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732E5A">
        <w:rPr>
          <w:rFonts w:cstheme="minorHAnsi"/>
          <w:b/>
        </w:rPr>
        <w:t xml:space="preserve">Efektivnost </w:t>
      </w:r>
      <w:r w:rsidRPr="00614472">
        <w:rPr>
          <w:rFonts w:cstheme="minorHAnsi"/>
        </w:rPr>
        <w:t xml:space="preserve">– takové použití prostředků, kterým se dosáhne nejvýše možného rozsahu, kvality a přínosu plněných úkolů ve srovnání s objemem prostředků vynaložených </w:t>
      </w:r>
      <w:r w:rsidRPr="00614472">
        <w:rPr>
          <w:rFonts w:cstheme="minorHAnsi"/>
        </w:rPr>
        <w:br/>
        <w:t>na jejich plnění (tj. maximalizace poměru mezi výstupy a vstupy). V</w:t>
      </w:r>
      <w:r w:rsidR="00731C62">
        <w:rPr>
          <w:rFonts w:cstheme="minorHAnsi"/>
        </w:rPr>
        <w:t> </w:t>
      </w:r>
      <w:r w:rsidR="00731C62" w:rsidRPr="00731C62">
        <w:rPr>
          <w:rFonts w:cstheme="minorHAnsi"/>
        </w:rPr>
        <w:t>investičním záměru</w:t>
      </w:r>
      <w:r w:rsidRPr="00614472">
        <w:rPr>
          <w:rFonts w:cstheme="minorHAnsi"/>
        </w:rPr>
        <w:t xml:space="preserve"> žadatel uvede jednotkovou cenu základních závazných parametrů a zároveň potvrdí, že cena díla, která je předmětem žádosti, je v požadované kvalitě v čase a místě obvyklá a neexistuje jiné ekonomicky výhodnější variantní řešení.  Zásada je dále naplněna transparentním postupem při výběru dodavatelů (dle zákona č. 134/2016 Sb., o zadávání veřejných zakázek, ve znění pozdějších předpisů).</w:t>
      </w:r>
    </w:p>
    <w:p w14:paraId="3C41864E" w14:textId="1749F9E2" w:rsidR="00FE5106" w:rsidRPr="00614472" w:rsidRDefault="453CD58F" w:rsidP="37D2F4C1">
      <w:pPr>
        <w:numPr>
          <w:ilvl w:val="0"/>
          <w:numId w:val="8"/>
        </w:numPr>
        <w:spacing w:after="0" w:line="240" w:lineRule="auto"/>
        <w:contextualSpacing/>
        <w:jc w:val="both"/>
      </w:pPr>
      <w:r w:rsidRPr="37D2F4C1">
        <w:rPr>
          <w:b/>
          <w:bCs/>
        </w:rPr>
        <w:t>Účelnost</w:t>
      </w:r>
      <w:r w:rsidRPr="37D2F4C1">
        <w:t xml:space="preserve"> – takové použití prostředků, které zajistí optimální míru dosažení cílů </w:t>
      </w:r>
      <w:r w:rsidR="00FE5106">
        <w:br/>
      </w:r>
      <w:r w:rsidRPr="37D2F4C1">
        <w:t xml:space="preserve">při plnění stanovených úkolů. Zásada je naplněna, pokud Investice splňuje </w:t>
      </w:r>
      <w:bookmarkStart w:id="0" w:name="_Hlk95831965"/>
      <w:r w:rsidRPr="37D2F4C1">
        <w:t xml:space="preserve">definici účelu Investice v rozhodnutí </w:t>
      </w:r>
      <w:bookmarkEnd w:id="0"/>
      <w:r w:rsidRPr="37D2F4C1">
        <w:t>a vede k naplnění stanovených indikátorů a splnění cílů vytyčených pro Investici v rámci Národního plánu obnovy.</w:t>
      </w:r>
    </w:p>
    <w:p w14:paraId="38CA3CD2" w14:textId="77777777" w:rsidR="00FE5106" w:rsidRPr="007D0B93" w:rsidRDefault="00FE5106" w:rsidP="00FE5106">
      <w:pPr>
        <w:spacing w:before="120" w:after="0" w:line="240" w:lineRule="auto"/>
        <w:ind w:left="708"/>
        <w:contextualSpacing/>
        <w:jc w:val="both"/>
        <w:rPr>
          <w:rFonts w:cstheme="minorHAnsi"/>
          <w:sz w:val="24"/>
          <w:szCs w:val="24"/>
        </w:rPr>
      </w:pPr>
    </w:p>
    <w:p w14:paraId="418C2000" w14:textId="3CC59F6C" w:rsidR="00FE5106" w:rsidRDefault="453CD58F" w:rsidP="37D2F4C1">
      <w:pPr>
        <w:spacing w:after="0" w:line="240" w:lineRule="auto"/>
        <w:jc w:val="both"/>
      </w:pPr>
      <w:r w:rsidRPr="37D2F4C1">
        <w:t xml:space="preserve">Výdaje Investice, které nebyly užity, vykazovány nebo řádně doloženy a odůvodněny za účelem plnění cíle Investice, a to v souladu s platnou metodikou pro užití prostředků RRF a NPO nebo jinými platnými právními a metodickými dokumenty nebo s běžně užívanou interně schválenou metodikou žadatele/příjemce dotace, jsou nezpůsobilými výdaji Investice. Nehospodárný nebo neefektivní výdaj může poskytovatel dotace označit za nezpůsobilý i v případě, že je tento výdaj součástí schváleného rozpočtu. Jedná se například o neodůvodněné uživatelské změny stavby, vady projektové dokumentace, nákupy, ke kterým příjemce nedoložil požadované dokumenty apod. </w:t>
      </w:r>
    </w:p>
    <w:p w14:paraId="4EA5A9B3" w14:textId="2BB5B4A8" w:rsidR="37D2F4C1" w:rsidRDefault="37D2F4C1" w:rsidP="37D2F4C1">
      <w:pPr>
        <w:spacing w:after="0" w:line="240" w:lineRule="auto"/>
        <w:jc w:val="both"/>
      </w:pPr>
    </w:p>
    <w:p w14:paraId="162D36DE" w14:textId="77777777" w:rsidR="00FE5106" w:rsidRPr="00731C62" w:rsidRDefault="00FE5106" w:rsidP="00506B6B">
      <w:pPr>
        <w:pStyle w:val="Odstavecseseznamem"/>
        <w:numPr>
          <w:ilvl w:val="2"/>
          <w:numId w:val="16"/>
        </w:numPr>
        <w:tabs>
          <w:tab w:val="left" w:pos="284"/>
        </w:tabs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731C62">
        <w:rPr>
          <w:rFonts w:eastAsia="Times New Roman" w:cstheme="minorHAnsi"/>
          <w:b/>
          <w:sz w:val="28"/>
          <w:szCs w:val="28"/>
          <w:lang w:eastAsia="cs-CZ"/>
        </w:rPr>
        <w:t>Výdaje</w:t>
      </w:r>
      <w:r w:rsidRPr="00731C62">
        <w:rPr>
          <w:rFonts w:cstheme="minorHAnsi"/>
          <w:b/>
          <w:sz w:val="28"/>
          <w:szCs w:val="28"/>
        </w:rPr>
        <w:t xml:space="preserve"> dle druhu </w:t>
      </w:r>
    </w:p>
    <w:p w14:paraId="63288D54" w14:textId="0875D228" w:rsidR="00FE5106" w:rsidRDefault="45136B8A" w:rsidP="00506B6B">
      <w:pPr>
        <w:autoSpaceDE w:val="0"/>
        <w:autoSpaceDN w:val="0"/>
        <w:adjustRightInd w:val="0"/>
        <w:spacing w:before="240" w:line="240" w:lineRule="auto"/>
        <w:jc w:val="both"/>
        <w:rPr>
          <w:rFonts w:cstheme="minorHAnsi"/>
        </w:rPr>
      </w:pPr>
      <w:r w:rsidRPr="000E0EF0">
        <w:rPr>
          <w:rFonts w:ascii="Calibri" w:hAnsi="Calibri" w:cs="Calibri"/>
          <w:color w:val="000000"/>
        </w:rPr>
        <w:t xml:space="preserve">Za způsobilé výdaje </w:t>
      </w:r>
      <w:r w:rsidR="00FE5106">
        <w:rPr>
          <w:rStyle w:val="Znakapoznpodarou"/>
          <w:rFonts w:ascii="Calibri" w:hAnsi="Calibri" w:cs="Calibri"/>
          <w:color w:val="000000"/>
        </w:rPr>
        <w:footnoteReference w:id="8"/>
      </w:r>
      <w:r w:rsidR="003B2C67">
        <w:rPr>
          <w:rFonts w:ascii="Calibri" w:hAnsi="Calibri" w:cs="Calibri"/>
          <w:color w:val="000000"/>
        </w:rPr>
        <w:t xml:space="preserve">, </w:t>
      </w:r>
      <w:r w:rsidRPr="004F2F7D">
        <w:rPr>
          <w:rFonts w:ascii="Calibri" w:hAnsi="Calibri" w:cs="Calibri"/>
          <w:color w:val="000000"/>
        </w:rPr>
        <w:t xml:space="preserve">které prokazatelně souvisí s předmětem </w:t>
      </w:r>
      <w:r w:rsidR="00DC6F6F">
        <w:rPr>
          <w:rFonts w:ascii="Calibri" w:hAnsi="Calibri" w:cs="Calibri"/>
          <w:color w:val="000000"/>
        </w:rPr>
        <w:t>I</w:t>
      </w:r>
      <w:r w:rsidR="0061258C">
        <w:rPr>
          <w:rFonts w:ascii="Calibri" w:hAnsi="Calibri" w:cs="Calibri"/>
          <w:color w:val="000000"/>
        </w:rPr>
        <w:t>nvestice</w:t>
      </w:r>
      <w:r>
        <w:rPr>
          <w:rFonts w:ascii="Calibri" w:hAnsi="Calibri" w:cs="Calibri"/>
          <w:color w:val="000000"/>
        </w:rPr>
        <w:t>,</w:t>
      </w:r>
      <w:r w:rsidRPr="004F2F7D">
        <w:rPr>
          <w:rFonts w:ascii="Calibri" w:hAnsi="Calibri" w:cs="Calibri"/>
          <w:color w:val="000000"/>
        </w:rPr>
        <w:t xml:space="preserve"> se v rámci </w:t>
      </w:r>
      <w:r w:rsidRPr="1B6C9D22">
        <w:rPr>
          <w:rFonts w:ascii="Calibri" w:hAnsi="Calibri" w:cs="Calibri"/>
          <w:color w:val="000000" w:themeColor="text1"/>
        </w:rPr>
        <w:t>Investice</w:t>
      </w:r>
      <w:r w:rsidRPr="004F2F7D">
        <w:rPr>
          <w:rFonts w:ascii="Calibri" w:hAnsi="Calibri" w:cs="Calibri"/>
          <w:color w:val="000000"/>
        </w:rPr>
        <w:t xml:space="preserve"> považují výdaje na</w:t>
      </w:r>
      <w:r>
        <w:rPr>
          <w:rFonts w:ascii="Calibri" w:hAnsi="Calibri" w:cs="Calibri"/>
          <w:color w:val="000000"/>
        </w:rPr>
        <w:t>:</w:t>
      </w:r>
      <w:r w:rsidRPr="000E0EF0">
        <w:rPr>
          <w:rFonts w:ascii="Calibri" w:hAnsi="Calibri" w:cs="Calibri"/>
          <w:color w:val="000000"/>
        </w:rPr>
        <w:t xml:space="preserve"> </w:t>
      </w:r>
    </w:p>
    <w:p w14:paraId="25C2B831" w14:textId="77777777" w:rsidR="00FE5106" w:rsidRPr="00451AA1" w:rsidRDefault="00FE5106" w:rsidP="00451AA1">
      <w:pPr>
        <w:pStyle w:val="Odstavecseseznamem"/>
        <w:numPr>
          <w:ilvl w:val="0"/>
          <w:numId w:val="17"/>
        </w:numPr>
        <w:spacing w:line="240" w:lineRule="auto"/>
        <w:jc w:val="both"/>
        <w:rPr>
          <w:rFonts w:cstheme="minorHAnsi"/>
          <w:b/>
        </w:rPr>
      </w:pPr>
      <w:r w:rsidRPr="00451AA1">
        <w:rPr>
          <w:rFonts w:cstheme="minorHAnsi"/>
          <w:b/>
        </w:rPr>
        <w:t>stavbu</w:t>
      </w:r>
    </w:p>
    <w:p w14:paraId="1F0E9AAD" w14:textId="77777777" w:rsidR="00FE5106" w:rsidRPr="00451AA1" w:rsidRDefault="00FE5106" w:rsidP="00451AA1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451AA1">
        <w:rPr>
          <w:rFonts w:cstheme="minorHAnsi"/>
        </w:rPr>
        <w:t xml:space="preserve">předprojektovou přípravu (např. geologické a hydrogeologické průzkumy, archeologické průzkumy), </w:t>
      </w:r>
    </w:p>
    <w:p w14:paraId="0E50AA87" w14:textId="55B6B2AF" w:rsidR="00FE5106" w:rsidRPr="00451AA1" w:rsidRDefault="00FE5106" w:rsidP="00451AA1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451AA1">
        <w:rPr>
          <w:rFonts w:cstheme="minorHAnsi"/>
        </w:rPr>
        <w:t xml:space="preserve">pořízení příslušné projektové dokumentace vč. průkazu energetické náročnosti (PENB), jejího veřejnoprávního projednání, zajištění územního rozhodnutí, stavebního povolení, </w:t>
      </w:r>
      <w:r w:rsidR="005F1A5B">
        <w:rPr>
          <w:rFonts w:cstheme="minorHAnsi"/>
        </w:rPr>
        <w:br/>
      </w:r>
      <w:r w:rsidRPr="00451AA1">
        <w:rPr>
          <w:rFonts w:cstheme="minorHAnsi"/>
        </w:rPr>
        <w:t xml:space="preserve">příp. ohlášení stavby, </w:t>
      </w:r>
    </w:p>
    <w:p w14:paraId="47AAC20D" w14:textId="27B647FB" w:rsidR="00FE5106" w:rsidRPr="001E0315" w:rsidRDefault="453CD58F" w:rsidP="37D2F4C1">
      <w:pPr>
        <w:pStyle w:val="Odstavecseseznamem"/>
        <w:numPr>
          <w:ilvl w:val="0"/>
          <w:numId w:val="8"/>
        </w:numPr>
        <w:spacing w:after="0" w:line="240" w:lineRule="auto"/>
        <w:jc w:val="both"/>
      </w:pPr>
      <w:r w:rsidRPr="37D2F4C1">
        <w:t>administrac</w:t>
      </w:r>
      <w:r w:rsidR="0040584E">
        <w:t>i</w:t>
      </w:r>
      <w:r w:rsidRPr="37D2F4C1">
        <w:t xml:space="preserve"> výběrových řízení na dodávky, služby a stavební práce, které jsou součástí způsobilých výdajů Investice, </w:t>
      </w:r>
    </w:p>
    <w:p w14:paraId="7CE351B9" w14:textId="77777777" w:rsidR="00FE5106" w:rsidRPr="001E0315" w:rsidRDefault="00FE5106" w:rsidP="00451AA1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r</w:t>
      </w:r>
      <w:r w:rsidRPr="001E0315">
        <w:rPr>
          <w:rFonts w:cstheme="minorHAnsi"/>
        </w:rPr>
        <w:t>ealizaci stavby, tj. stavební práce související s účelovým určením dotace, např.</w:t>
      </w:r>
    </w:p>
    <w:p w14:paraId="37C320B7" w14:textId="77777777" w:rsidR="00FE5106" w:rsidRDefault="00FE5106" w:rsidP="00451AA1">
      <w:pPr>
        <w:pStyle w:val="Odstavecseseznamem"/>
        <w:numPr>
          <w:ilvl w:val="1"/>
          <w:numId w:val="9"/>
        </w:numPr>
        <w:spacing w:after="0" w:line="240" w:lineRule="auto"/>
        <w:jc w:val="both"/>
        <w:rPr>
          <w:rFonts w:cstheme="minorHAnsi"/>
        </w:rPr>
      </w:pPr>
      <w:r w:rsidRPr="00C8252F">
        <w:rPr>
          <w:rFonts w:cstheme="minorHAnsi"/>
        </w:rPr>
        <w:t xml:space="preserve">pořízení </w:t>
      </w:r>
      <w:r>
        <w:rPr>
          <w:rFonts w:cstheme="minorHAnsi"/>
        </w:rPr>
        <w:t>staveb,</w:t>
      </w:r>
      <w:r w:rsidRPr="00C8252F">
        <w:rPr>
          <w:rFonts w:cstheme="minorHAnsi"/>
        </w:rPr>
        <w:t xml:space="preserve"> </w:t>
      </w:r>
    </w:p>
    <w:p w14:paraId="53CAE5B8" w14:textId="77777777" w:rsidR="00FE5106" w:rsidRDefault="00FE5106" w:rsidP="00451AA1">
      <w:pPr>
        <w:pStyle w:val="Odstavecseseznamem"/>
        <w:numPr>
          <w:ilvl w:val="1"/>
          <w:numId w:val="9"/>
        </w:numPr>
        <w:spacing w:after="0" w:line="240" w:lineRule="auto"/>
        <w:jc w:val="both"/>
        <w:rPr>
          <w:rFonts w:cstheme="minorHAnsi"/>
        </w:rPr>
      </w:pPr>
      <w:r w:rsidRPr="00C8252F">
        <w:rPr>
          <w:rFonts w:cstheme="minorHAnsi"/>
        </w:rPr>
        <w:t>rekonstrukce staveb</w:t>
      </w:r>
      <w:r>
        <w:rPr>
          <w:rFonts w:cstheme="minorHAnsi"/>
        </w:rPr>
        <w:t xml:space="preserve"> odůvodněné ve vztahu k předmětu IZ,</w:t>
      </w:r>
    </w:p>
    <w:p w14:paraId="29DBAA7F" w14:textId="77777777" w:rsidR="00FE5106" w:rsidRPr="001E0315" w:rsidRDefault="00FE5106" w:rsidP="00451AA1">
      <w:pPr>
        <w:pStyle w:val="Odstavecseseznamem"/>
        <w:numPr>
          <w:ilvl w:val="1"/>
          <w:numId w:val="9"/>
        </w:numPr>
        <w:spacing w:after="0" w:line="240" w:lineRule="auto"/>
        <w:jc w:val="both"/>
        <w:rPr>
          <w:rFonts w:cstheme="minorHAnsi"/>
        </w:rPr>
      </w:pPr>
      <w:r w:rsidRPr="001E0315">
        <w:rPr>
          <w:rFonts w:cstheme="minorHAnsi"/>
        </w:rPr>
        <w:t xml:space="preserve">odstranění staveb nutné k realizaci nové stavby, </w:t>
      </w:r>
    </w:p>
    <w:p w14:paraId="6B289E21" w14:textId="77777777" w:rsidR="00FE5106" w:rsidRPr="001E0315" w:rsidRDefault="00FE5106" w:rsidP="00451AA1">
      <w:pPr>
        <w:pStyle w:val="Odstavecseseznamem"/>
        <w:numPr>
          <w:ilvl w:val="1"/>
          <w:numId w:val="9"/>
        </w:numPr>
        <w:spacing w:after="0" w:line="240" w:lineRule="auto"/>
        <w:jc w:val="both"/>
        <w:rPr>
          <w:rFonts w:cstheme="minorHAnsi"/>
        </w:rPr>
      </w:pPr>
      <w:r w:rsidRPr="001E0315">
        <w:rPr>
          <w:rFonts w:cstheme="minorHAnsi"/>
        </w:rPr>
        <w:t xml:space="preserve">odstranění ekologických zátěží (dekontaminace a rekultivace pozemků určených pro realizaci projektu), </w:t>
      </w:r>
    </w:p>
    <w:p w14:paraId="10474995" w14:textId="77777777" w:rsidR="00FE5106" w:rsidRPr="001E0315" w:rsidRDefault="00FE5106" w:rsidP="00451AA1">
      <w:pPr>
        <w:pStyle w:val="Odstavecseseznamem"/>
        <w:numPr>
          <w:ilvl w:val="1"/>
          <w:numId w:val="9"/>
        </w:numPr>
        <w:spacing w:after="0" w:line="240" w:lineRule="auto"/>
        <w:jc w:val="both"/>
        <w:rPr>
          <w:rFonts w:cstheme="minorHAnsi"/>
        </w:rPr>
      </w:pPr>
      <w:r w:rsidRPr="001E0315">
        <w:rPr>
          <w:rFonts w:cstheme="minorHAnsi"/>
        </w:rPr>
        <w:t xml:space="preserve">inženýrské sítě (včetně přeložek plynových, vodovodních a elektrických sítí, pokud jsou pro realizaci projektu nezbytné), </w:t>
      </w:r>
    </w:p>
    <w:p w14:paraId="19DE9AB2" w14:textId="77777777" w:rsidR="00FE5106" w:rsidRPr="001E0315" w:rsidRDefault="00FE5106" w:rsidP="00451AA1">
      <w:pPr>
        <w:pStyle w:val="Odstavecseseznamem"/>
        <w:numPr>
          <w:ilvl w:val="1"/>
          <w:numId w:val="9"/>
        </w:numPr>
        <w:spacing w:after="0" w:line="240" w:lineRule="auto"/>
        <w:jc w:val="both"/>
        <w:rPr>
          <w:rFonts w:cstheme="minorHAnsi"/>
        </w:rPr>
      </w:pPr>
      <w:r w:rsidRPr="001E0315">
        <w:rPr>
          <w:rFonts w:cstheme="minorHAnsi"/>
        </w:rPr>
        <w:t xml:space="preserve">výstavbu přípojek k telekomunikačním sítím, budování páteřních sítí, </w:t>
      </w:r>
    </w:p>
    <w:p w14:paraId="0BE14FAC" w14:textId="77777777" w:rsidR="00FE5106" w:rsidRPr="001E0315" w:rsidRDefault="00FE5106" w:rsidP="00451AA1">
      <w:pPr>
        <w:pStyle w:val="Odstavecseseznamem"/>
        <w:numPr>
          <w:ilvl w:val="1"/>
          <w:numId w:val="9"/>
        </w:numPr>
        <w:spacing w:after="0" w:line="240" w:lineRule="auto"/>
        <w:jc w:val="both"/>
        <w:rPr>
          <w:rFonts w:cstheme="minorHAnsi"/>
        </w:rPr>
      </w:pPr>
      <w:r w:rsidRPr="001E0315">
        <w:rPr>
          <w:rFonts w:cstheme="minorHAnsi"/>
        </w:rPr>
        <w:t xml:space="preserve">úpravy pozemků (hrubé terénní úpravy pozemku, sadové úpravy v okolí objektu), </w:t>
      </w:r>
    </w:p>
    <w:p w14:paraId="5DBA2504" w14:textId="77777777" w:rsidR="00FE5106" w:rsidRPr="001E0315" w:rsidRDefault="00FE5106" w:rsidP="00451AA1">
      <w:pPr>
        <w:pStyle w:val="Odstavecseseznamem"/>
        <w:numPr>
          <w:ilvl w:val="1"/>
          <w:numId w:val="9"/>
        </w:numPr>
        <w:spacing w:after="0" w:line="240" w:lineRule="auto"/>
        <w:jc w:val="both"/>
        <w:rPr>
          <w:rFonts w:cstheme="minorHAnsi"/>
        </w:rPr>
      </w:pPr>
      <w:r w:rsidRPr="001E0315">
        <w:rPr>
          <w:rFonts w:cstheme="minorHAnsi"/>
        </w:rPr>
        <w:t>parkovací místa a komunikace ke stavbám na pozemku ve vlastnictví žadatele (způsobilost výstavby parkovacích míst a komunikací je podmíněna požadavkem stavebního úřadu, který vzešel ze stavebního řízení),</w:t>
      </w:r>
    </w:p>
    <w:p w14:paraId="492AF8BF" w14:textId="77777777" w:rsidR="00FE5106" w:rsidRPr="00451AA1" w:rsidRDefault="00FE5106" w:rsidP="00451AA1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  <w:color w:val="000000"/>
        </w:rPr>
      </w:pPr>
      <w:r w:rsidRPr="00451AA1">
        <w:rPr>
          <w:rFonts w:ascii="Calibri" w:hAnsi="Calibri" w:cs="Calibri"/>
          <w:color w:val="000000"/>
        </w:rPr>
        <w:t xml:space="preserve">na autorský dozor (AD), technický dozor příjemce (TDI) a funkci inspektora bezpečnosti a ochrany zdraví při práci (BOZP), </w:t>
      </w:r>
    </w:p>
    <w:p w14:paraId="10959F9D" w14:textId="77777777" w:rsidR="00FE5106" w:rsidRPr="00451AA1" w:rsidRDefault="00FE5106" w:rsidP="00451AA1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  <w:color w:val="000000"/>
        </w:rPr>
      </w:pPr>
      <w:r w:rsidRPr="00451AA1">
        <w:rPr>
          <w:rFonts w:ascii="Calibri" w:hAnsi="Calibri" w:cs="Calibri"/>
          <w:color w:val="000000"/>
        </w:rPr>
        <w:t xml:space="preserve">výdaje za geodetické práce a inženýrskou činnost, </w:t>
      </w:r>
    </w:p>
    <w:p w14:paraId="571916E9" w14:textId="79B02079" w:rsidR="00FE5106" w:rsidRPr="00451AA1" w:rsidRDefault="453CD58F" w:rsidP="00451AA1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  <w:color w:val="000000"/>
        </w:rPr>
      </w:pPr>
      <w:r w:rsidRPr="37D2F4C1">
        <w:rPr>
          <w:rFonts w:ascii="Calibri" w:hAnsi="Calibri" w:cs="Calibri"/>
          <w:color w:val="000000" w:themeColor="text1"/>
        </w:rPr>
        <w:t xml:space="preserve">v případě, že jsou součástí stavby prostory, které nejsou využívány pouze pro Investici, výši způsobilých výdajů na tyto společné prostory stanoví žadatel/příjemce tímto způsobem: </w:t>
      </w:r>
    </w:p>
    <w:p w14:paraId="7890D06B" w14:textId="77777777" w:rsidR="00FE5106" w:rsidRPr="000436E3" w:rsidRDefault="00FE5106" w:rsidP="00451AA1">
      <w:pPr>
        <w:pStyle w:val="Odstavecseseznamem"/>
        <w:numPr>
          <w:ilvl w:val="1"/>
          <w:numId w:val="9"/>
        </w:numPr>
        <w:spacing w:after="0" w:line="240" w:lineRule="auto"/>
        <w:jc w:val="both"/>
        <w:rPr>
          <w:rFonts w:cstheme="minorHAnsi"/>
        </w:rPr>
      </w:pPr>
      <w:r w:rsidRPr="000436E3">
        <w:rPr>
          <w:rFonts w:cstheme="minorHAnsi"/>
        </w:rPr>
        <w:t xml:space="preserve">vymezí celkovou podlahovou plochu stavebního objektu a u tohoto objektu vyčíslí finanční plnění, </w:t>
      </w:r>
    </w:p>
    <w:p w14:paraId="669888A9" w14:textId="77777777" w:rsidR="00FE5106" w:rsidRPr="000436E3" w:rsidRDefault="00FE5106" w:rsidP="00451AA1">
      <w:pPr>
        <w:pStyle w:val="Odstavecseseznamem"/>
        <w:numPr>
          <w:ilvl w:val="1"/>
          <w:numId w:val="9"/>
        </w:numPr>
        <w:spacing w:after="0" w:line="240" w:lineRule="auto"/>
        <w:jc w:val="both"/>
        <w:rPr>
          <w:rFonts w:cstheme="minorHAnsi"/>
        </w:rPr>
      </w:pPr>
      <w:r w:rsidRPr="000436E3">
        <w:rPr>
          <w:rFonts w:cstheme="minorHAnsi"/>
        </w:rPr>
        <w:t xml:space="preserve">rozdělí celkovou podlahovou plochu stavebního objektu na jednotlivé druhy ploch </w:t>
      </w:r>
      <w:r>
        <w:rPr>
          <w:rFonts w:cstheme="minorHAnsi"/>
        </w:rPr>
        <w:t>a prokazatelně rozdělí finanční plnění (rovněž odpovídajícím způsobem v projektové dokumentaci, v rámci položkového rozpočtu projektu a další související dokumentaci)</w:t>
      </w:r>
    </w:p>
    <w:p w14:paraId="04BFBBE7" w14:textId="74DABA10" w:rsidR="00FE5106" w:rsidRPr="00451AA1" w:rsidRDefault="453CD58F" w:rsidP="37D2F4C1">
      <w:pPr>
        <w:pStyle w:val="Odstavecseseznamem"/>
        <w:numPr>
          <w:ilvl w:val="2"/>
          <w:numId w:val="9"/>
        </w:numPr>
        <w:spacing w:after="0" w:line="240" w:lineRule="auto"/>
        <w:jc w:val="both"/>
      </w:pPr>
      <w:r w:rsidRPr="37D2F4C1">
        <w:t xml:space="preserve">pro účely Investice, </w:t>
      </w:r>
    </w:p>
    <w:p w14:paraId="4A982DBC" w14:textId="0620FE9D" w:rsidR="00FE5106" w:rsidRPr="00451AA1" w:rsidRDefault="453CD58F" w:rsidP="37D2F4C1">
      <w:pPr>
        <w:pStyle w:val="Odstavecseseznamem"/>
        <w:numPr>
          <w:ilvl w:val="2"/>
          <w:numId w:val="9"/>
        </w:numPr>
        <w:spacing w:after="0" w:line="240" w:lineRule="auto"/>
        <w:jc w:val="both"/>
      </w:pPr>
      <w:r w:rsidRPr="37D2F4C1">
        <w:lastRenderedPageBreak/>
        <w:t>mimo účel Investice, případně</w:t>
      </w:r>
    </w:p>
    <w:p w14:paraId="4B1F7491" w14:textId="77777777" w:rsidR="00FE5106" w:rsidRPr="00451AA1" w:rsidRDefault="00FE5106" w:rsidP="00451AA1">
      <w:pPr>
        <w:pStyle w:val="Odstavecseseznamem"/>
        <w:numPr>
          <w:ilvl w:val="2"/>
          <w:numId w:val="9"/>
        </w:numPr>
        <w:spacing w:after="0" w:line="240" w:lineRule="auto"/>
        <w:jc w:val="both"/>
        <w:rPr>
          <w:rFonts w:cstheme="minorHAnsi"/>
        </w:rPr>
      </w:pPr>
      <w:r w:rsidRPr="00451AA1">
        <w:rPr>
          <w:rFonts w:cstheme="minorHAnsi"/>
        </w:rPr>
        <w:t>společné prostory, u kterých určí absolutní položky v m</w:t>
      </w:r>
      <w:r w:rsidRPr="00451AA1">
        <w:rPr>
          <w:rFonts w:cstheme="minorHAnsi"/>
          <w:vertAlign w:val="superscript"/>
        </w:rPr>
        <w:t>2</w:t>
      </w:r>
      <w:r w:rsidRPr="00451AA1">
        <w:rPr>
          <w:rFonts w:cstheme="minorHAnsi"/>
        </w:rPr>
        <w:t>, které se přímo váží k vybudování prostor</w:t>
      </w:r>
    </w:p>
    <w:p w14:paraId="10C7AE67" w14:textId="3AD477D2" w:rsidR="00FE5106" w:rsidRPr="00451AA1" w:rsidRDefault="453CD58F" w:rsidP="37D2F4C1">
      <w:pPr>
        <w:pStyle w:val="Odstavecseseznamem"/>
        <w:numPr>
          <w:ilvl w:val="3"/>
          <w:numId w:val="18"/>
        </w:numPr>
        <w:spacing w:after="0" w:line="240" w:lineRule="auto"/>
        <w:jc w:val="both"/>
      </w:pPr>
      <w:r w:rsidRPr="37D2F4C1">
        <w:t xml:space="preserve">pro účely Investice, </w:t>
      </w:r>
    </w:p>
    <w:p w14:paraId="577A6315" w14:textId="04058244" w:rsidR="00FE5106" w:rsidRPr="00451AA1" w:rsidRDefault="453CD58F" w:rsidP="00451AA1">
      <w:pPr>
        <w:pStyle w:val="Odstavecseseznamem"/>
        <w:numPr>
          <w:ilvl w:val="3"/>
          <w:numId w:val="18"/>
        </w:numPr>
        <w:spacing w:after="0" w:line="240" w:lineRule="auto"/>
        <w:jc w:val="both"/>
        <w:rPr>
          <w:rFonts w:ascii="Calibri" w:hAnsi="Calibri" w:cs="Calibri"/>
          <w:color w:val="000000"/>
        </w:rPr>
      </w:pPr>
      <w:r w:rsidRPr="37D2F4C1">
        <w:t xml:space="preserve">mimo účel Investice, případně </w:t>
      </w:r>
    </w:p>
    <w:p w14:paraId="0D380947" w14:textId="77777777" w:rsidR="00FE5106" w:rsidRPr="00451AA1" w:rsidRDefault="453CD58F" w:rsidP="00451AA1">
      <w:pPr>
        <w:pStyle w:val="Odstavecseseznamem"/>
        <w:numPr>
          <w:ilvl w:val="3"/>
          <w:numId w:val="18"/>
        </w:numPr>
        <w:spacing w:after="0" w:line="240" w:lineRule="auto"/>
        <w:jc w:val="both"/>
        <w:rPr>
          <w:rFonts w:ascii="Calibri" w:hAnsi="Calibri" w:cs="Calibri"/>
          <w:color w:val="000000"/>
        </w:rPr>
      </w:pPr>
      <w:r w:rsidRPr="00451AA1">
        <w:rPr>
          <w:rFonts w:ascii="Calibri" w:hAnsi="Calibri" w:cs="Calibri"/>
          <w:color w:val="000000"/>
        </w:rPr>
        <w:t>vypočte index způsobilosti společných prostor</w:t>
      </w:r>
      <w:r w:rsidR="00FE5106" w:rsidRPr="003461A2">
        <w:rPr>
          <w:rStyle w:val="Znakapoznpodarou"/>
          <w:rFonts w:ascii="Calibri" w:hAnsi="Calibri" w:cs="Calibri"/>
          <w:color w:val="000000"/>
        </w:rPr>
        <w:footnoteReference w:id="9"/>
      </w:r>
      <w:r w:rsidRPr="00451AA1">
        <w:rPr>
          <w:rFonts w:ascii="Calibri" w:hAnsi="Calibri" w:cs="Calibri"/>
          <w:color w:val="000000"/>
        </w:rPr>
        <w:t xml:space="preserve"> v %, </w:t>
      </w:r>
    </w:p>
    <w:p w14:paraId="39C8AACE" w14:textId="77777777" w:rsidR="00FE5106" w:rsidRDefault="00FE5106" w:rsidP="00451AA1">
      <w:pPr>
        <w:pStyle w:val="Odstavecseseznamem"/>
        <w:numPr>
          <w:ilvl w:val="1"/>
          <w:numId w:val="9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způsob pro určení </w:t>
      </w:r>
      <w:r w:rsidRPr="00F520BC">
        <w:rPr>
          <w:rFonts w:cstheme="minorHAnsi"/>
        </w:rPr>
        <w:t xml:space="preserve">způsobilosti společných prostor </w:t>
      </w:r>
      <w:r>
        <w:rPr>
          <w:rFonts w:cstheme="minorHAnsi"/>
        </w:rPr>
        <w:t xml:space="preserve">aplikuje rovněž </w:t>
      </w:r>
      <w:r w:rsidRPr="00F520BC">
        <w:rPr>
          <w:rFonts w:cstheme="minorHAnsi"/>
        </w:rPr>
        <w:t>na výdaje související se stavbou např. TDI, AD, BOZP.</w:t>
      </w:r>
    </w:p>
    <w:p w14:paraId="624D7BA6" w14:textId="77777777" w:rsidR="00FE5106" w:rsidRPr="00F520BC" w:rsidRDefault="00FE5106" w:rsidP="00451AA1">
      <w:pPr>
        <w:pStyle w:val="Odstavecseseznamem"/>
        <w:spacing w:line="240" w:lineRule="auto"/>
        <w:ind w:left="1080"/>
        <w:jc w:val="both"/>
        <w:rPr>
          <w:rFonts w:cstheme="minorHAnsi"/>
        </w:rPr>
      </w:pPr>
    </w:p>
    <w:p w14:paraId="518D6ED6" w14:textId="1876AD2E" w:rsidR="00FE5106" w:rsidRPr="003461A2" w:rsidRDefault="32EEB2D2" w:rsidP="002A7D43">
      <w:pPr>
        <w:pStyle w:val="Odstavecseseznamem"/>
        <w:numPr>
          <w:ilvl w:val="0"/>
          <w:numId w:val="17"/>
        </w:numPr>
        <w:spacing w:line="240" w:lineRule="auto"/>
        <w:jc w:val="both"/>
        <w:rPr>
          <w:rFonts w:eastAsiaTheme="minorEastAsia"/>
          <w:b/>
          <w:bCs/>
        </w:rPr>
      </w:pPr>
      <w:r w:rsidRPr="3D31F885">
        <w:rPr>
          <w:b/>
          <w:bCs/>
        </w:rPr>
        <w:t xml:space="preserve">pořízení </w:t>
      </w:r>
      <w:r w:rsidR="453CD58F" w:rsidRPr="3D31F885">
        <w:rPr>
          <w:b/>
          <w:bCs/>
        </w:rPr>
        <w:t>stroj</w:t>
      </w:r>
      <w:r w:rsidRPr="3D31F885">
        <w:rPr>
          <w:b/>
          <w:bCs/>
        </w:rPr>
        <w:t>ů</w:t>
      </w:r>
      <w:r w:rsidR="453CD58F" w:rsidRPr="3D31F885">
        <w:rPr>
          <w:b/>
          <w:bCs/>
        </w:rPr>
        <w:t xml:space="preserve"> a zařízení, interiérové</w:t>
      </w:r>
      <w:r w:rsidRPr="3D31F885">
        <w:rPr>
          <w:b/>
          <w:bCs/>
        </w:rPr>
        <w:t>ho</w:t>
      </w:r>
      <w:r w:rsidR="453CD58F" w:rsidRPr="3D31F885">
        <w:rPr>
          <w:b/>
          <w:bCs/>
        </w:rPr>
        <w:t xml:space="preserve"> vybavení</w:t>
      </w:r>
      <w:r w:rsidR="00116E9C" w:rsidRPr="37D2F4C1">
        <w:rPr>
          <w:b/>
          <w:bCs/>
          <w:vertAlign w:val="superscript"/>
        </w:rPr>
        <w:footnoteReference w:id="10"/>
      </w:r>
      <w:r w:rsidR="453CD58F" w:rsidRPr="3D31F885">
        <w:rPr>
          <w:b/>
          <w:bCs/>
        </w:rPr>
        <w:t xml:space="preserve"> vč. prvotního neinvestičního vybavení </w:t>
      </w:r>
      <w:r w:rsidR="37D2F4C1" w:rsidRPr="37D2F4C1">
        <w:rPr>
          <w:b/>
          <w:bCs/>
        </w:rPr>
        <w:t>s</w:t>
      </w:r>
      <w:r w:rsidR="00244A49">
        <w:rPr>
          <w:b/>
          <w:bCs/>
        </w:rPr>
        <w:t> </w:t>
      </w:r>
      <w:r w:rsidR="37D2F4C1" w:rsidRPr="37D2F4C1">
        <w:rPr>
          <w:b/>
          <w:bCs/>
        </w:rPr>
        <w:t xml:space="preserve">výjimkou drobného hmotného a nehmotného dlouhodobého majetku </w:t>
      </w:r>
      <w:r w:rsidR="453CD58F" w:rsidRPr="3D31F885">
        <w:rPr>
          <w:b/>
          <w:bCs/>
        </w:rPr>
        <w:t xml:space="preserve"> </w:t>
      </w:r>
    </w:p>
    <w:p w14:paraId="2CFEDB9E" w14:textId="67773591" w:rsidR="00FE5106" w:rsidRPr="00451AA1" w:rsidRDefault="453CD58F" w:rsidP="00451AA1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  <w:color w:val="000000"/>
        </w:rPr>
      </w:pPr>
      <w:r w:rsidRPr="37D2F4C1">
        <w:rPr>
          <w:rFonts w:ascii="Calibri" w:hAnsi="Calibri" w:cs="Calibri"/>
          <w:color w:val="000000" w:themeColor="text1"/>
        </w:rPr>
        <w:t xml:space="preserve">strojní a přístrojové investiční vybavení v rozsahu nezbytném pro naplnění účelu Investice, </w:t>
      </w:r>
    </w:p>
    <w:p w14:paraId="483C00BC" w14:textId="64A9805F" w:rsidR="00FE5106" w:rsidRPr="00451AA1" w:rsidRDefault="453CD58F" w:rsidP="00451AA1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  <w:color w:val="000000"/>
        </w:rPr>
      </w:pPr>
      <w:r w:rsidRPr="37D2F4C1">
        <w:rPr>
          <w:rFonts w:ascii="Calibri" w:hAnsi="Calibri" w:cs="Calibri"/>
          <w:color w:val="000000" w:themeColor="text1"/>
        </w:rPr>
        <w:t>interiérové vybavení (vestavěný nábytek a mobiliář) v rozsahu nezbytném pro naplnění účelu Investice, výdaje na pořízení kancelářského nábytku a jiného standardního vybavení kanceláří a laboratoří (stoly, regály, skříně, osvětlení, klimatizace, digestoře, ledničky, vařiče atp.),</w:t>
      </w:r>
    </w:p>
    <w:p w14:paraId="40F4F8F3" w14:textId="31A8297A" w:rsidR="00FE5106" w:rsidRPr="00451AA1" w:rsidRDefault="00FE5106" w:rsidP="00451AA1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  <w:color w:val="000000"/>
        </w:rPr>
      </w:pPr>
      <w:r w:rsidRPr="00451AA1">
        <w:rPr>
          <w:rFonts w:ascii="Calibri" w:hAnsi="Calibri" w:cs="Calibri"/>
          <w:color w:val="000000"/>
        </w:rPr>
        <w:t xml:space="preserve">další investiční </w:t>
      </w:r>
      <w:r w:rsidR="00FC044F" w:rsidRPr="00451AA1">
        <w:rPr>
          <w:rFonts w:ascii="Calibri" w:hAnsi="Calibri" w:cs="Calibri"/>
          <w:color w:val="000000"/>
        </w:rPr>
        <w:t>vybavení – AV</w:t>
      </w:r>
      <w:r w:rsidRPr="00451AA1">
        <w:rPr>
          <w:rFonts w:ascii="Calibri" w:hAnsi="Calibri" w:cs="Calibri"/>
          <w:color w:val="000000"/>
        </w:rPr>
        <w:t xml:space="preserve"> techniku, laboratorní vybavení, informační a orientační systém</w:t>
      </w:r>
      <w:r w:rsidR="00DC6F6F">
        <w:rPr>
          <w:rFonts w:ascii="Calibri" w:hAnsi="Calibri" w:cs="Calibri"/>
          <w:color w:val="000000"/>
        </w:rPr>
        <w:t> apod</w:t>
      </w:r>
      <w:r w:rsidRPr="00451AA1">
        <w:rPr>
          <w:rFonts w:ascii="Calibri" w:hAnsi="Calibri" w:cs="Calibri"/>
          <w:color w:val="000000"/>
        </w:rPr>
        <w:t xml:space="preserve">., </w:t>
      </w:r>
    </w:p>
    <w:p w14:paraId="10FF5527" w14:textId="3FEE0D01" w:rsidR="00FE5106" w:rsidRPr="00E742D4" w:rsidRDefault="453CD58F" w:rsidP="00451AA1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  <w:color w:val="000000"/>
        </w:rPr>
      </w:pPr>
      <w:r w:rsidRPr="37D2F4C1">
        <w:rPr>
          <w:rFonts w:ascii="Calibri" w:hAnsi="Calibri" w:cs="Calibri"/>
          <w:color w:val="000000" w:themeColor="text1"/>
        </w:rPr>
        <w:t>servery, tiskárny, komunikační a síťová zařízení, specializovaná koncová zařízení apod.</w:t>
      </w:r>
    </w:p>
    <w:p w14:paraId="4622DBC1" w14:textId="77777777" w:rsidR="00E742D4" w:rsidRPr="00116E9C" w:rsidRDefault="00E742D4" w:rsidP="00E742D4">
      <w:pPr>
        <w:pStyle w:val="Odstavecseseznamem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4D225554" w14:textId="454C2B85" w:rsidR="00FE5106" w:rsidRPr="00B87BAA" w:rsidRDefault="453CD58F" w:rsidP="00E742D4">
      <w:pPr>
        <w:pStyle w:val="Odstavecseseznamem"/>
        <w:numPr>
          <w:ilvl w:val="0"/>
          <w:numId w:val="17"/>
        </w:numPr>
        <w:spacing w:line="240" w:lineRule="auto"/>
        <w:jc w:val="both"/>
        <w:rPr>
          <w:bCs/>
        </w:rPr>
      </w:pPr>
      <w:r w:rsidRPr="37D2F4C1">
        <w:rPr>
          <w:b/>
          <w:bCs/>
        </w:rPr>
        <w:t>daň z přidané hodnoty</w:t>
      </w:r>
      <w:r w:rsidR="00B87BAA">
        <w:rPr>
          <w:b/>
          <w:bCs/>
        </w:rPr>
        <w:t xml:space="preserve">. </w:t>
      </w:r>
      <w:r w:rsidR="00B87BAA" w:rsidRPr="00EA3A45">
        <w:rPr>
          <w:rFonts w:ascii="Calibri" w:hAnsi="Calibri" w:cs="Calibri"/>
          <w:bCs/>
          <w:color w:val="000000" w:themeColor="text1"/>
        </w:rPr>
        <w:t>Daň z přidané hodnoty</w:t>
      </w:r>
      <w:r w:rsidR="00B87BAA" w:rsidRPr="00EA3A45">
        <w:rPr>
          <w:rFonts w:ascii="Calibri" w:hAnsi="Calibri" w:cs="Calibri"/>
          <w:color w:val="000000" w:themeColor="text1"/>
        </w:rPr>
        <w:t xml:space="preserve"> podle</w:t>
      </w:r>
      <w:r w:rsidR="00B87BAA" w:rsidRPr="00244A49">
        <w:rPr>
          <w:rFonts w:ascii="Calibri" w:hAnsi="Calibri" w:cs="Calibri"/>
          <w:color w:val="000000" w:themeColor="text1"/>
        </w:rPr>
        <w:t xml:space="preserve"> zvláštního právního předpisu</w:t>
      </w:r>
      <w:r w:rsidR="00B87BAA">
        <w:rPr>
          <w:rStyle w:val="Znakapoznpodarou"/>
          <w:rFonts w:ascii="Calibri" w:hAnsi="Calibri" w:cs="Calibri"/>
          <w:color w:val="000000" w:themeColor="text1"/>
        </w:rPr>
        <w:footnoteReference w:id="11"/>
      </w:r>
      <w:r w:rsidR="00B87BAA" w:rsidRPr="00B87BAA">
        <w:rPr>
          <w:rFonts w:ascii="Calibri" w:hAnsi="Calibri" w:cs="Calibri"/>
          <w:color w:val="000000" w:themeColor="text1"/>
        </w:rPr>
        <w:t xml:space="preserve"> (dále také „DPH</w:t>
      </w:r>
      <w:r w:rsidR="00B87BAA" w:rsidRPr="00244A49">
        <w:rPr>
          <w:rFonts w:ascii="Calibri" w:hAnsi="Calibri" w:cs="Calibri"/>
          <w:color w:val="000000" w:themeColor="text1"/>
        </w:rPr>
        <w:t xml:space="preserve">“) </w:t>
      </w:r>
      <w:r w:rsidR="00E742D4" w:rsidRPr="00B87BAA">
        <w:rPr>
          <w:bCs/>
        </w:rPr>
        <w:t xml:space="preserve">je způsobilá </w:t>
      </w:r>
      <w:r w:rsidR="00B87BAA">
        <w:rPr>
          <w:bCs/>
        </w:rPr>
        <w:t>pro poskytnutí</w:t>
      </w:r>
      <w:r w:rsidR="00E742D4" w:rsidRPr="00B87BAA">
        <w:rPr>
          <w:bCs/>
        </w:rPr>
        <w:t> dotace</w:t>
      </w:r>
      <w:r w:rsidR="00B87BAA">
        <w:rPr>
          <w:rStyle w:val="Znakapoznpodarou"/>
          <w:bCs/>
        </w:rPr>
        <w:footnoteReference w:id="12"/>
      </w:r>
      <w:r w:rsidR="00B87BAA">
        <w:rPr>
          <w:bCs/>
        </w:rPr>
        <w:t xml:space="preserve"> z</w:t>
      </w:r>
      <w:r w:rsidR="00E742D4" w:rsidRPr="00B87BAA">
        <w:rPr>
          <w:bCs/>
        </w:rPr>
        <w:t xml:space="preserve"> rozpočtu kapitoly 333 – Ministerstv</w:t>
      </w:r>
      <w:r w:rsidR="00B87BAA" w:rsidRPr="00B87BAA">
        <w:rPr>
          <w:bCs/>
        </w:rPr>
        <w:t>o školství, mládeže a tělovýchovy v souladu s usnesením Vlády České republiky č. 401 ze dne 18.</w:t>
      </w:r>
      <w:r w:rsidR="00B87BAA">
        <w:rPr>
          <w:bCs/>
        </w:rPr>
        <w:t> </w:t>
      </w:r>
      <w:r w:rsidR="00B87BAA" w:rsidRPr="00B87BAA">
        <w:rPr>
          <w:bCs/>
        </w:rPr>
        <w:t xml:space="preserve">5. 2022 </w:t>
      </w:r>
      <w:r w:rsidR="005F1A5B">
        <w:rPr>
          <w:bCs/>
        </w:rPr>
        <w:br/>
      </w:r>
      <w:r w:rsidR="00B87BAA" w:rsidRPr="00B87BAA">
        <w:rPr>
          <w:bCs/>
        </w:rPr>
        <w:t xml:space="preserve">k zajištění finančního krytí na realizace stavebních projektů komponenty 3.2 Adaptace kapacity </w:t>
      </w:r>
      <w:r w:rsidR="005F1A5B">
        <w:rPr>
          <w:bCs/>
        </w:rPr>
        <w:br/>
      </w:r>
      <w:r w:rsidR="00B87BAA" w:rsidRPr="00B87BAA">
        <w:rPr>
          <w:bCs/>
        </w:rPr>
        <w:t>a zaměření školních programů, 3.2.4 Investice do rozvoje vybraných klíčových akademických pracovišť podpořených v rámci Národního plánu obnovy</w:t>
      </w:r>
      <w:r w:rsidR="00B87BAA">
        <w:rPr>
          <w:bCs/>
        </w:rPr>
        <w:t xml:space="preserve"> a zároveň</w:t>
      </w:r>
      <w:r w:rsidR="00B87BAA" w:rsidRPr="00244A49">
        <w:rPr>
          <w:rFonts w:ascii="Calibri" w:hAnsi="Calibri" w:cs="Calibri"/>
          <w:b/>
          <w:bCs/>
        </w:rPr>
        <w:t xml:space="preserve"> není způsobilá pro čerpání podpory z RRF.</w:t>
      </w:r>
    </w:p>
    <w:p w14:paraId="393057F3" w14:textId="162E5D1E" w:rsidR="00FE5106" w:rsidRPr="00244A49" w:rsidRDefault="00B87BAA" w:rsidP="002A7D43">
      <w:pPr>
        <w:autoSpaceDE w:val="0"/>
        <w:autoSpaceDN w:val="0"/>
        <w:adjustRightInd w:val="0"/>
        <w:spacing w:before="240" w:after="0" w:line="240" w:lineRule="auto"/>
        <w:ind w:left="360"/>
        <w:jc w:val="both"/>
        <w:rPr>
          <w:rFonts w:ascii="Calibri" w:hAnsi="Calibri" w:cs="Calibri"/>
        </w:rPr>
      </w:pPr>
      <w:r w:rsidRPr="00B87BAA">
        <w:rPr>
          <w:rFonts w:ascii="Calibri" w:hAnsi="Calibri" w:cs="Calibri"/>
          <w:bCs/>
          <w:color w:val="000000" w:themeColor="text1"/>
        </w:rPr>
        <w:t>DPH</w:t>
      </w:r>
      <w:r w:rsidR="453CD58F" w:rsidRPr="00B87BAA">
        <w:rPr>
          <w:rFonts w:ascii="Calibri" w:hAnsi="Calibri" w:cs="Calibri"/>
          <w:color w:val="000000" w:themeColor="text1"/>
        </w:rPr>
        <w:t xml:space="preserve"> </w:t>
      </w:r>
      <w:r w:rsidRPr="00B87BAA">
        <w:rPr>
          <w:rFonts w:ascii="Calibri" w:hAnsi="Calibri" w:cs="Calibri"/>
          <w:color w:val="000000" w:themeColor="text1"/>
        </w:rPr>
        <w:t>j</w:t>
      </w:r>
      <w:r>
        <w:rPr>
          <w:rFonts w:ascii="Calibri" w:hAnsi="Calibri" w:cs="Calibri"/>
          <w:color w:val="000000" w:themeColor="text1"/>
        </w:rPr>
        <w:t xml:space="preserve">e způsobilá </w:t>
      </w:r>
      <w:r w:rsidR="453CD58F" w:rsidRPr="00244A49">
        <w:rPr>
          <w:rFonts w:ascii="Calibri" w:hAnsi="Calibri" w:cs="Calibri"/>
          <w:color w:val="000000" w:themeColor="text1"/>
        </w:rPr>
        <w:t xml:space="preserve">za předpokladu, že způsobilým výdajem je rovněž plnění, ke kterému se daň vztahuje. Pokud je dané plnění způsobilým výdajem pouze z části, je způsobilým výdajem rovněž pouze poměrná část DPH vztahující se k tomuto plnění. DPH nebo její část (buďto poměrná část </w:t>
      </w:r>
      <w:r w:rsidR="005F1A5B">
        <w:rPr>
          <w:rFonts w:ascii="Calibri" w:hAnsi="Calibri" w:cs="Calibri"/>
          <w:color w:val="000000" w:themeColor="text1"/>
        </w:rPr>
        <w:br/>
      </w:r>
      <w:r w:rsidR="453CD58F" w:rsidRPr="00244A49">
        <w:rPr>
          <w:rFonts w:ascii="Calibri" w:hAnsi="Calibri" w:cs="Calibri"/>
          <w:color w:val="000000" w:themeColor="text1"/>
        </w:rPr>
        <w:t>ve smyslu předchozí věty a/nebo neuplatněná část po krácení odpočtu daně zálohovým koeficientem neuplatňovaná dle zálohového koeficientu v souladu se zákonem o</w:t>
      </w:r>
      <w:r>
        <w:rPr>
          <w:rFonts w:ascii="Calibri" w:hAnsi="Calibri" w:cs="Calibri"/>
          <w:color w:val="000000" w:themeColor="text1"/>
        </w:rPr>
        <w:t> </w:t>
      </w:r>
      <w:r w:rsidR="453CD58F" w:rsidRPr="00244A49">
        <w:rPr>
          <w:rFonts w:ascii="Calibri" w:hAnsi="Calibri" w:cs="Calibri"/>
          <w:color w:val="000000" w:themeColor="text1"/>
        </w:rPr>
        <w:t>DPH) je způsobilý výdaj pouze za předpokladu, že příjemce dotace nemá nárok na její odpočet, nebo nárok na odpočet části DPH. DPH je způsobilým výdajem v plné výši u subjektů, které nejsou plátci DPH. Subjekty, které mohou uplatnit nárok na odpočet DPH částečně na základě koeficientu, použijí při vykazování v žádosti o poskytnutí dotace a následné platbě zálohový koeficient. V následujícím roce, kdy bude v souladu s postupy podle zákona č. 235/2004 Sb. vyměřen správcem daně zjištěný vypořádací koeficient za minulý rok, provedou příjemci dotace vyúčtování takto nárokované DPH na základě tohoto vypořádacího koeficientu skutečně vyměřeného správcem daně.</w:t>
      </w:r>
      <w:r w:rsidR="453CD58F" w:rsidRPr="37D2F4C1">
        <w:rPr>
          <w:rFonts w:ascii="Calibri" w:hAnsi="Calibri" w:cs="Calibri"/>
          <w:color w:val="000000" w:themeColor="text1"/>
        </w:rPr>
        <w:t xml:space="preserve"> </w:t>
      </w:r>
    </w:p>
    <w:p w14:paraId="4AEE02B3" w14:textId="6D4471C0" w:rsidR="00FE5106" w:rsidRPr="008910E1" w:rsidRDefault="453CD58F" w:rsidP="00DC6F6F">
      <w:pPr>
        <w:pStyle w:val="Odstavecseseznamem"/>
        <w:numPr>
          <w:ilvl w:val="0"/>
          <w:numId w:val="17"/>
        </w:numPr>
        <w:spacing w:before="240" w:line="240" w:lineRule="auto"/>
        <w:jc w:val="both"/>
        <w:rPr>
          <w:b/>
          <w:bCs/>
        </w:rPr>
      </w:pPr>
      <w:r w:rsidRPr="37D2F4C1">
        <w:rPr>
          <w:b/>
          <w:bCs/>
        </w:rPr>
        <w:t>povinnou publicitu</w:t>
      </w:r>
      <w:r w:rsidR="67623B93" w:rsidRPr="37D2F4C1">
        <w:rPr>
          <w:b/>
          <w:bCs/>
        </w:rPr>
        <w:t xml:space="preserve"> a komunikaci</w:t>
      </w:r>
      <w:r w:rsidR="00B87BAA">
        <w:rPr>
          <w:b/>
          <w:bCs/>
        </w:rPr>
        <w:t>.</w:t>
      </w:r>
      <w:r w:rsidRPr="37D2F4C1">
        <w:rPr>
          <w:b/>
          <w:bCs/>
        </w:rPr>
        <w:t xml:space="preserve"> </w:t>
      </w:r>
    </w:p>
    <w:p w14:paraId="72B00031" w14:textId="77777777" w:rsidR="00506B6B" w:rsidRPr="00B35CD9" w:rsidRDefault="00506B6B" w:rsidP="00FE5106">
      <w:pPr>
        <w:spacing w:after="0" w:line="240" w:lineRule="auto"/>
        <w:jc w:val="both"/>
        <w:rPr>
          <w:rFonts w:ascii="Calibri" w:hAnsi="Calibri" w:cs="Calibri"/>
          <w:b/>
          <w:color w:val="000000"/>
        </w:rPr>
      </w:pPr>
    </w:p>
    <w:p w14:paraId="69AC5F76" w14:textId="77777777" w:rsidR="00FE5106" w:rsidRPr="00F90301" w:rsidRDefault="00FE5106" w:rsidP="00451AA1">
      <w:pPr>
        <w:pStyle w:val="Odstavecseseznamem"/>
        <w:numPr>
          <w:ilvl w:val="0"/>
          <w:numId w:val="16"/>
        </w:numPr>
        <w:tabs>
          <w:tab w:val="left" w:pos="284"/>
        </w:tabs>
        <w:spacing w:after="0" w:line="240" w:lineRule="auto"/>
        <w:jc w:val="both"/>
        <w:outlineLvl w:val="0"/>
        <w:rPr>
          <w:rFonts w:eastAsia="Times New Roman" w:cstheme="minorHAnsi"/>
          <w:b/>
          <w:sz w:val="28"/>
          <w:szCs w:val="28"/>
          <w:lang w:eastAsia="cs-CZ"/>
        </w:rPr>
      </w:pPr>
      <w:r w:rsidRPr="00F90301">
        <w:rPr>
          <w:rFonts w:eastAsia="Times New Roman" w:cstheme="minorHAnsi"/>
          <w:b/>
          <w:sz w:val="28"/>
          <w:szCs w:val="28"/>
          <w:lang w:eastAsia="cs-CZ"/>
        </w:rPr>
        <w:lastRenderedPageBreak/>
        <w:t>Nezpůsobilé výdaje</w:t>
      </w:r>
    </w:p>
    <w:p w14:paraId="14D71A05" w14:textId="77777777" w:rsidR="00FE5106" w:rsidRDefault="00FE5106" w:rsidP="00FE5106">
      <w:pPr>
        <w:spacing w:after="0"/>
        <w:jc w:val="both"/>
        <w:rPr>
          <w:highlight w:val="yellow"/>
        </w:rPr>
      </w:pPr>
    </w:p>
    <w:p w14:paraId="1B0DF7BA" w14:textId="77777777" w:rsidR="00FE5106" w:rsidRDefault="036A5AFA" w:rsidP="00FE5106">
      <w:pPr>
        <w:spacing w:after="0" w:line="240" w:lineRule="auto"/>
        <w:jc w:val="both"/>
      </w:pPr>
      <w:r>
        <w:t xml:space="preserve">Nezpůsobilé výdaje jsou výdaje, které nemohou být proplaceny v rámci Investice, neboť nejsou v souladu s příslušnými předpisy EU, národními pravidly nebo dalšími pravidly stanovenými poskytovatelem dotace či podmínkami rozhodnutí. </w:t>
      </w:r>
    </w:p>
    <w:p w14:paraId="57A4B4DD" w14:textId="1C318A5D" w:rsidR="00FE5106" w:rsidRPr="005F42F5" w:rsidRDefault="00FE5106" w:rsidP="00FE5106">
      <w:pPr>
        <w:autoSpaceDE w:val="0"/>
        <w:autoSpaceDN w:val="0"/>
        <w:adjustRightInd w:val="0"/>
        <w:spacing w:before="240" w:after="0" w:line="240" w:lineRule="auto"/>
        <w:rPr>
          <w:rFonts w:ascii="Calibri" w:hAnsi="Calibri" w:cs="Calibri"/>
          <w:color w:val="000000"/>
        </w:rPr>
      </w:pPr>
      <w:r w:rsidRPr="005F42F5">
        <w:rPr>
          <w:rFonts w:ascii="Calibri" w:hAnsi="Calibri" w:cs="Calibri"/>
          <w:bCs/>
          <w:color w:val="000000"/>
        </w:rPr>
        <w:t>Nezpůsobilé výdaje</w:t>
      </w:r>
      <w:r w:rsidR="00E742D4">
        <w:rPr>
          <w:rFonts w:ascii="Calibri" w:hAnsi="Calibri" w:cs="Calibri"/>
          <w:bCs/>
          <w:color w:val="000000"/>
        </w:rPr>
        <w:t xml:space="preserve"> z RRF</w:t>
      </w:r>
      <w:r w:rsidRPr="005F42F5">
        <w:rPr>
          <w:rFonts w:ascii="Calibri" w:hAnsi="Calibri" w:cs="Calibri"/>
          <w:bCs/>
          <w:color w:val="000000"/>
        </w:rPr>
        <w:t xml:space="preserve">, jsou takové, které: </w:t>
      </w:r>
    </w:p>
    <w:p w14:paraId="64BB5FF2" w14:textId="4718AB76" w:rsidR="00FE5106" w:rsidRPr="00451AA1" w:rsidRDefault="453CD58F" w:rsidP="37D2F4C1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color w:val="000000"/>
        </w:rPr>
      </w:pPr>
      <w:r w:rsidRPr="00451AA1">
        <w:rPr>
          <w:rFonts w:ascii="Calibri" w:hAnsi="Calibri" w:cs="Calibri"/>
          <w:color w:val="000000"/>
        </w:rPr>
        <w:t>nelze proplatit z dotačních prostředků RRF</w:t>
      </w:r>
      <w:r w:rsidR="00FE5106">
        <w:rPr>
          <w:rStyle w:val="Znakapoznpodarou"/>
          <w:rFonts w:ascii="Calibri" w:hAnsi="Calibri" w:cs="Calibri"/>
          <w:color w:val="000000"/>
        </w:rPr>
        <w:footnoteReference w:id="13"/>
      </w:r>
      <w:r w:rsidRPr="00451AA1">
        <w:rPr>
          <w:rFonts w:ascii="Calibri" w:hAnsi="Calibri" w:cs="Calibri"/>
          <w:color w:val="000000"/>
        </w:rPr>
        <w:t xml:space="preserve"> a zároveň nelze hradit z dotace ze státního rozpočtu</w:t>
      </w:r>
      <w:r w:rsidR="00E742D4">
        <w:rPr>
          <w:rFonts w:ascii="Calibri" w:hAnsi="Calibri" w:cs="Calibri"/>
          <w:color w:val="000000"/>
        </w:rPr>
        <w:t>,</w:t>
      </w:r>
      <w:r w:rsidRPr="00451AA1">
        <w:rPr>
          <w:rFonts w:ascii="Calibri" w:hAnsi="Calibri" w:cs="Calibri"/>
          <w:color w:val="000000"/>
        </w:rPr>
        <w:t xml:space="preserve"> </w:t>
      </w:r>
    </w:p>
    <w:p w14:paraId="035CB9B5" w14:textId="1B4BF661" w:rsidR="00FE5106" w:rsidRPr="00451AA1" w:rsidRDefault="453CD58F" w:rsidP="00451AA1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37D2F4C1">
        <w:rPr>
          <w:rFonts w:ascii="Calibri" w:hAnsi="Calibri" w:cs="Calibri"/>
          <w:color w:val="000000" w:themeColor="text1"/>
        </w:rPr>
        <w:t xml:space="preserve">výdaje, které vznikly před 1. 2. 2020 nebo mají být vynaloženy po 30. </w:t>
      </w:r>
      <w:r w:rsidR="0061258C">
        <w:rPr>
          <w:rFonts w:ascii="Calibri" w:hAnsi="Calibri" w:cs="Calibri"/>
          <w:color w:val="000000" w:themeColor="text1"/>
        </w:rPr>
        <w:t>12</w:t>
      </w:r>
      <w:r w:rsidRPr="37D2F4C1">
        <w:rPr>
          <w:rFonts w:ascii="Calibri" w:hAnsi="Calibri" w:cs="Calibri"/>
          <w:color w:val="000000" w:themeColor="text1"/>
        </w:rPr>
        <w:t xml:space="preserve">. 2026, </w:t>
      </w:r>
    </w:p>
    <w:p w14:paraId="02D3FF01" w14:textId="6688B72D" w:rsidR="00FE5106" w:rsidRPr="00451AA1" w:rsidRDefault="453CD58F" w:rsidP="00451AA1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37D2F4C1">
        <w:rPr>
          <w:rFonts w:ascii="Calibri" w:hAnsi="Calibri" w:cs="Calibri"/>
          <w:color w:val="000000" w:themeColor="text1"/>
        </w:rPr>
        <w:t>výdaje plánované, deklarované, vzniklé nebo hrazené v souvislosti s jiným projektem jiného programu podpory nebo podporované jiný</w:t>
      </w:r>
      <w:r w:rsidR="00114DDE">
        <w:rPr>
          <w:rFonts w:ascii="Calibri" w:hAnsi="Calibri" w:cs="Calibri"/>
          <w:color w:val="000000" w:themeColor="text1"/>
        </w:rPr>
        <w:t>m</w:t>
      </w:r>
      <w:r w:rsidRPr="37D2F4C1">
        <w:rPr>
          <w:rFonts w:ascii="Calibri" w:hAnsi="Calibri" w:cs="Calibri"/>
          <w:color w:val="000000" w:themeColor="text1"/>
        </w:rPr>
        <w:t xml:space="preserve"> způsobem z veřejných prostředků Č</w:t>
      </w:r>
      <w:r w:rsidR="00E742D4">
        <w:rPr>
          <w:rFonts w:ascii="Calibri" w:hAnsi="Calibri" w:cs="Calibri"/>
          <w:color w:val="000000" w:themeColor="text1"/>
        </w:rPr>
        <w:t>eské republiky</w:t>
      </w:r>
      <w:r w:rsidRPr="37D2F4C1">
        <w:rPr>
          <w:rFonts w:ascii="Calibri" w:hAnsi="Calibri" w:cs="Calibri"/>
          <w:color w:val="000000" w:themeColor="text1"/>
        </w:rPr>
        <w:t xml:space="preserve"> nebo </w:t>
      </w:r>
      <w:r w:rsidR="00E742D4">
        <w:rPr>
          <w:rFonts w:ascii="Calibri" w:hAnsi="Calibri" w:cs="Calibri"/>
          <w:color w:val="000000" w:themeColor="text1"/>
        </w:rPr>
        <w:t>Evropské unie</w:t>
      </w:r>
      <w:r w:rsidRPr="37D2F4C1">
        <w:rPr>
          <w:rFonts w:ascii="Calibri" w:hAnsi="Calibri" w:cs="Calibri"/>
          <w:color w:val="000000" w:themeColor="text1"/>
        </w:rPr>
        <w:t>. Výdaje mimo projekt nebo již jednou z veřejných prostředků uhrazené (tj.</w:t>
      </w:r>
      <w:r w:rsidR="00E742D4">
        <w:rPr>
          <w:rFonts w:ascii="Calibri" w:hAnsi="Calibri" w:cs="Calibri"/>
          <w:color w:val="000000" w:themeColor="text1"/>
        </w:rPr>
        <w:t> </w:t>
      </w:r>
      <w:r w:rsidRPr="37D2F4C1">
        <w:rPr>
          <w:rFonts w:ascii="Calibri" w:hAnsi="Calibri" w:cs="Calibri"/>
          <w:color w:val="000000" w:themeColor="text1"/>
        </w:rPr>
        <w:t>dvojí financování téhož výdaje – tím není dotčena možnost povoleného křížového a</w:t>
      </w:r>
      <w:r w:rsidR="00E742D4">
        <w:rPr>
          <w:rFonts w:ascii="Calibri" w:hAnsi="Calibri" w:cs="Calibri"/>
          <w:color w:val="000000" w:themeColor="text1"/>
        </w:rPr>
        <w:t> </w:t>
      </w:r>
      <w:r w:rsidRPr="37D2F4C1">
        <w:rPr>
          <w:rFonts w:ascii="Calibri" w:hAnsi="Calibri" w:cs="Calibri"/>
          <w:color w:val="000000" w:themeColor="text1"/>
        </w:rPr>
        <w:t xml:space="preserve">vícezdrojového financování komplementárním způsobem), </w:t>
      </w:r>
    </w:p>
    <w:p w14:paraId="19EA7AE5" w14:textId="4B9E817F" w:rsidR="00FE5106" w:rsidRPr="00451AA1" w:rsidRDefault="453CD58F" w:rsidP="00451AA1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37D2F4C1">
        <w:rPr>
          <w:rFonts w:ascii="Calibri" w:hAnsi="Calibri" w:cs="Calibri"/>
          <w:color w:val="000000" w:themeColor="text1"/>
        </w:rPr>
        <w:t xml:space="preserve">nejsou vynaloženy v souladu s účelem a cíli Investice a současně nejsou pro jejich dosažení nezbytné, </w:t>
      </w:r>
    </w:p>
    <w:p w14:paraId="53795924" w14:textId="77777777" w:rsidR="00FE5106" w:rsidRPr="00451AA1" w:rsidRDefault="00FE5106" w:rsidP="00451AA1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451AA1">
        <w:rPr>
          <w:rFonts w:ascii="Calibri" w:hAnsi="Calibri" w:cs="Calibri"/>
          <w:color w:val="000000"/>
        </w:rPr>
        <w:t xml:space="preserve">nejsou přiměřené a nejsou vynaloženy v souladu s principem hospodárnosti, efektivnosti a účelnosti, </w:t>
      </w:r>
    </w:p>
    <w:p w14:paraId="715DA287" w14:textId="77777777" w:rsidR="00FE5106" w:rsidRPr="00451AA1" w:rsidRDefault="00FE5106" w:rsidP="00451AA1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451AA1">
        <w:rPr>
          <w:rFonts w:ascii="Calibri" w:hAnsi="Calibri" w:cs="Calibri"/>
          <w:color w:val="000000"/>
        </w:rPr>
        <w:t>nejsou v souladu s českou nebo evropskou legislativou, rozhodnutím a podmínkami pro poskytnutí dotace, v souladu s platnou metodikou pro užití prostředků RRF a NPO nebo jinými platnými právními a metodickými dokumenty nebo s běžně užívanou interně schválenou metodikou žadatele/příjemce dotace,</w:t>
      </w:r>
    </w:p>
    <w:p w14:paraId="3030F6D3" w14:textId="7A7DD094" w:rsidR="00FE5106" w:rsidRPr="00451AA1" w:rsidRDefault="00FE5106" w:rsidP="00451AA1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451AA1">
        <w:rPr>
          <w:rFonts w:ascii="Calibri" w:hAnsi="Calibri" w:cs="Calibri"/>
          <w:color w:val="000000"/>
        </w:rPr>
        <w:t>jsou spojené s financováním udržitelnosti projektů podpořených z předchozích dotačních titulů</w:t>
      </w:r>
      <w:r w:rsidR="00F17502">
        <w:rPr>
          <w:rFonts w:ascii="Calibri" w:hAnsi="Calibri" w:cs="Calibri"/>
          <w:color w:val="000000"/>
        </w:rPr>
        <w:t xml:space="preserve"> v souladu s pravidly pro poskytnutí dotace z těchto dotačních titulů</w:t>
      </w:r>
      <w:r w:rsidRPr="00451AA1">
        <w:rPr>
          <w:rFonts w:ascii="Calibri" w:hAnsi="Calibri" w:cs="Calibri"/>
          <w:color w:val="000000"/>
        </w:rPr>
        <w:t xml:space="preserve">. </w:t>
      </w:r>
    </w:p>
    <w:p w14:paraId="6179D823" w14:textId="77777777" w:rsidR="00FE5106" w:rsidRPr="006C1B58" w:rsidRDefault="00FE5106" w:rsidP="00FE5106">
      <w:pPr>
        <w:autoSpaceDE w:val="0"/>
        <w:autoSpaceDN w:val="0"/>
        <w:adjustRightInd w:val="0"/>
        <w:spacing w:before="240" w:after="0" w:line="240" w:lineRule="auto"/>
        <w:rPr>
          <w:rFonts w:ascii="Calibri" w:hAnsi="Calibri" w:cs="Calibri"/>
          <w:color w:val="000000"/>
        </w:rPr>
      </w:pPr>
      <w:r w:rsidRPr="006C1B58">
        <w:rPr>
          <w:rFonts w:ascii="Calibri" w:hAnsi="Calibri" w:cs="Calibri"/>
          <w:b/>
          <w:bCs/>
          <w:color w:val="000000"/>
        </w:rPr>
        <w:t xml:space="preserve">Pokud takové výdaje vzniknou, hradí je příjemce z vlastních prostředků. </w:t>
      </w:r>
    </w:p>
    <w:p w14:paraId="1A65AE9A" w14:textId="77777777" w:rsidR="00FE5106" w:rsidRPr="00AE687C" w:rsidRDefault="00FE5106" w:rsidP="00FE5106">
      <w:pPr>
        <w:spacing w:before="240" w:after="0"/>
        <w:jc w:val="both"/>
        <w:rPr>
          <w:rFonts w:cstheme="minorHAnsi"/>
        </w:rPr>
      </w:pPr>
      <w:r w:rsidRPr="00AE687C">
        <w:rPr>
          <w:rFonts w:cstheme="minorHAnsi"/>
        </w:rPr>
        <w:t xml:space="preserve">Za způsobilé se dle druhu výdaje dále nepovažují: </w:t>
      </w:r>
    </w:p>
    <w:p w14:paraId="49E81566" w14:textId="1D590A18" w:rsidR="00FE5106" w:rsidRPr="008277D7" w:rsidRDefault="453CD58F" w:rsidP="00451AA1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37D2F4C1">
        <w:rPr>
          <w:rFonts w:ascii="Calibri" w:hAnsi="Calibri" w:cs="Calibri"/>
          <w:color w:val="000000" w:themeColor="text1"/>
        </w:rPr>
        <w:t>výdaje spojené s přípravou žádosti o poskytnutí dotace související s činností administrativního týmu (odborného týmu) projektu,</w:t>
      </w:r>
    </w:p>
    <w:p w14:paraId="6789C085" w14:textId="052B3385" w:rsidR="00FE5106" w:rsidRPr="008277D7" w:rsidRDefault="00FE5106" w:rsidP="00451AA1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8277D7">
        <w:rPr>
          <w:rFonts w:ascii="Calibri" w:hAnsi="Calibri" w:cs="Calibri"/>
          <w:color w:val="000000"/>
        </w:rPr>
        <w:t xml:space="preserve">výdaje spojené s pořízením pozemků, na nichž bude projekt realizován; výdaje na nákup pozemku nebo stavby (dále také „nemovitosti“), které jsou předmětem vlastního </w:t>
      </w:r>
      <w:r w:rsidRPr="00731C62">
        <w:rPr>
          <w:rFonts w:ascii="Calibri" w:hAnsi="Calibri" w:cs="Calibri"/>
          <w:color w:val="000000"/>
        </w:rPr>
        <w:t>investičního záměru ani výdaje</w:t>
      </w:r>
      <w:r w:rsidRPr="008277D7">
        <w:rPr>
          <w:rFonts w:ascii="Calibri" w:hAnsi="Calibri" w:cs="Calibri"/>
          <w:color w:val="000000"/>
        </w:rPr>
        <w:t xml:space="preserve"> přípravné ve vazbě na nákup nemovitosti vstupující dle účetních pravidel příjemce dotace do hodnoty pořizovaných </w:t>
      </w:r>
      <w:r w:rsidR="00393A81" w:rsidRPr="008277D7">
        <w:rPr>
          <w:rFonts w:ascii="Calibri" w:hAnsi="Calibri" w:cs="Calibri"/>
          <w:color w:val="000000"/>
        </w:rPr>
        <w:t>pozemků – znalecké</w:t>
      </w:r>
      <w:r w:rsidRPr="008277D7">
        <w:rPr>
          <w:rFonts w:ascii="Calibri" w:hAnsi="Calibri" w:cs="Calibri"/>
          <w:color w:val="000000"/>
        </w:rPr>
        <w:t xml:space="preserve"> posudky, zaměření, geodetické práce apod</w:t>
      </w:r>
      <w:r>
        <w:rPr>
          <w:rFonts w:ascii="Calibri" w:hAnsi="Calibri" w:cs="Calibri"/>
          <w:color w:val="000000"/>
        </w:rPr>
        <w:t>.</w:t>
      </w:r>
      <w:r w:rsidRPr="008277D7">
        <w:rPr>
          <w:rFonts w:ascii="Calibri" w:hAnsi="Calibri" w:cs="Calibri"/>
          <w:color w:val="000000"/>
        </w:rPr>
        <w:t>,</w:t>
      </w:r>
    </w:p>
    <w:p w14:paraId="2AAB9FAF" w14:textId="77777777" w:rsidR="00FE5106" w:rsidRPr="00D746FD" w:rsidRDefault="453CD58F" w:rsidP="00451AA1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D746FD">
        <w:rPr>
          <w:rFonts w:ascii="Calibri" w:hAnsi="Calibri" w:cs="Calibri"/>
          <w:color w:val="000000"/>
        </w:rPr>
        <w:t>výdaje na pořízení drobného hmotného a nehmotného dlouhodobého majetku</w:t>
      </w:r>
      <w:r w:rsidR="00FE5106" w:rsidRPr="00E742D4">
        <w:rPr>
          <w:rFonts w:ascii="Calibri" w:hAnsi="Calibri" w:cs="Calibri"/>
          <w:color w:val="000000"/>
          <w:vertAlign w:val="superscript"/>
        </w:rPr>
        <w:footnoteReference w:id="14"/>
      </w:r>
      <w:r w:rsidRPr="00E742D4">
        <w:rPr>
          <w:rFonts w:ascii="Calibri" w:hAnsi="Calibri" w:cs="Calibri"/>
          <w:color w:val="000000"/>
        </w:rPr>
        <w:t>,</w:t>
      </w:r>
    </w:p>
    <w:p w14:paraId="1519CF99" w14:textId="307FFC3E" w:rsidR="00FE5106" w:rsidRPr="00D746FD" w:rsidRDefault="453CD58F" w:rsidP="37D2F4C1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color w:val="000000"/>
        </w:rPr>
      </w:pPr>
      <w:r w:rsidRPr="37D2F4C1">
        <w:rPr>
          <w:rFonts w:ascii="Calibri" w:hAnsi="Calibri" w:cs="Calibri"/>
          <w:color w:val="000000" w:themeColor="text1"/>
        </w:rPr>
        <w:t xml:space="preserve">běžné výdaje pro zajištění </w:t>
      </w:r>
      <w:r w:rsidR="37D2F4C1" w:rsidRPr="37D2F4C1">
        <w:t>plnění úkolů ve vzdělávací a tvůrčí činnosti i k doplňkové činnosti a</w:t>
      </w:r>
      <w:r w:rsidR="00E742D4">
        <w:t> </w:t>
      </w:r>
      <w:r w:rsidR="37D2F4C1" w:rsidRPr="37D2F4C1">
        <w:t>nakládáním s vlastním majetkem v souladu se zákonem o vysokých školách a o změně a</w:t>
      </w:r>
      <w:r w:rsidR="00E742D4">
        <w:t> </w:t>
      </w:r>
      <w:r w:rsidR="37D2F4C1" w:rsidRPr="37D2F4C1">
        <w:t>doplnění dalších zákonů (zákon o vysokých školách), ve znění pozdějších předpisů</w:t>
      </w:r>
      <w:r w:rsidRPr="37D2F4C1">
        <w:rPr>
          <w:rFonts w:ascii="Calibri" w:hAnsi="Calibri" w:cs="Calibri"/>
          <w:color w:val="000000" w:themeColor="text1"/>
        </w:rPr>
        <w:t xml:space="preserve">, </w:t>
      </w:r>
    </w:p>
    <w:p w14:paraId="1A3DDDF3" w14:textId="77777777" w:rsidR="00FE5106" w:rsidRPr="00F9451B" w:rsidRDefault="00FE5106" w:rsidP="00451AA1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F9451B">
        <w:rPr>
          <w:rFonts w:ascii="Calibri" w:hAnsi="Calibri" w:cs="Calibri"/>
          <w:color w:val="000000"/>
        </w:rPr>
        <w:t>výdaje na materiál (výukový</w:t>
      </w:r>
      <w:r w:rsidRPr="000728B0">
        <w:rPr>
          <w:rFonts w:ascii="Calibri" w:hAnsi="Calibri" w:cs="Calibri"/>
          <w:color w:val="000000"/>
        </w:rPr>
        <w:t xml:space="preserve"> </w:t>
      </w:r>
      <w:r w:rsidRPr="00F9451B">
        <w:rPr>
          <w:rFonts w:ascii="Calibri" w:hAnsi="Calibri" w:cs="Calibri"/>
          <w:color w:val="000000"/>
        </w:rPr>
        <w:t>a výzkumný),</w:t>
      </w:r>
    </w:p>
    <w:p w14:paraId="5278840D" w14:textId="653CA0DA" w:rsidR="00FE5106" w:rsidRDefault="00DE36CE" w:rsidP="00451AA1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výdaje na</w:t>
      </w:r>
      <w:r w:rsidRPr="00CD49E0">
        <w:rPr>
          <w:rFonts w:ascii="Calibri" w:hAnsi="Calibri" w:cs="Calibri"/>
          <w:color w:val="000000"/>
        </w:rPr>
        <w:t xml:space="preserve"> </w:t>
      </w:r>
      <w:r w:rsidR="00FE5106" w:rsidRPr="00CD49E0">
        <w:rPr>
          <w:rFonts w:ascii="Calibri" w:hAnsi="Calibri" w:cs="Calibri"/>
          <w:color w:val="000000"/>
        </w:rPr>
        <w:t>obnovu nebo údržbu a opravy stávajícího majetku nebo zařízení,</w:t>
      </w:r>
      <w:r w:rsidR="00FE5106" w:rsidRPr="00F9451B">
        <w:rPr>
          <w:rFonts w:ascii="Calibri" w:hAnsi="Calibri" w:cs="Calibri"/>
          <w:color w:val="000000"/>
        </w:rPr>
        <w:t xml:space="preserve"> </w:t>
      </w:r>
    </w:p>
    <w:p w14:paraId="61F3BDFC" w14:textId="3660698F" w:rsidR="008F6F02" w:rsidRDefault="008F6F02" w:rsidP="008F6F0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2BBE6D8A" w14:textId="77777777" w:rsidR="008F6F02" w:rsidRPr="008F6F02" w:rsidRDefault="008F6F02" w:rsidP="008F6F0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746EB937" w14:textId="4E35E8A7" w:rsidR="00FE5106" w:rsidRPr="00F9451B" w:rsidRDefault="00FE5106" w:rsidP="00451AA1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F9451B">
        <w:rPr>
          <w:rFonts w:ascii="Calibri" w:hAnsi="Calibri" w:cs="Calibri"/>
          <w:color w:val="000000"/>
        </w:rPr>
        <w:lastRenderedPageBreak/>
        <w:t>výdaje na administraci žádosti o poskytnutí dotace vč. výdajů na související poradenství (vyjma organizace veřejných zakázek na stavební práce, dodávky a služby), právní služby, bankovní a</w:t>
      </w:r>
      <w:r w:rsidR="00E742D4">
        <w:rPr>
          <w:rFonts w:ascii="Calibri" w:hAnsi="Calibri" w:cs="Calibri"/>
          <w:color w:val="000000"/>
        </w:rPr>
        <w:t> </w:t>
      </w:r>
      <w:r w:rsidRPr="00F9451B">
        <w:rPr>
          <w:rFonts w:ascii="Calibri" w:hAnsi="Calibri" w:cs="Calibri"/>
          <w:color w:val="000000"/>
        </w:rPr>
        <w:t xml:space="preserve">jiné správní a místní poplatky, jako jsou např. poplatky za zápis do katastru nemovitostí, výpis z obchodního rejstříku, vydání stavebního povolení, výpis z rejstříku trestů, odvody za vynětí půdy ze zemědělského půdního fondu, notářské </w:t>
      </w:r>
      <w:r w:rsidR="00F52A24" w:rsidRPr="00F9451B">
        <w:rPr>
          <w:rFonts w:ascii="Calibri" w:hAnsi="Calibri" w:cs="Calibri"/>
          <w:color w:val="000000"/>
        </w:rPr>
        <w:t>poplatky</w:t>
      </w:r>
      <w:r w:rsidRPr="00F9451B">
        <w:rPr>
          <w:rFonts w:ascii="Calibri" w:hAnsi="Calibri" w:cs="Calibri"/>
          <w:color w:val="000000"/>
        </w:rPr>
        <w:t xml:space="preserve"> apod., </w:t>
      </w:r>
    </w:p>
    <w:p w14:paraId="56C472A8" w14:textId="696402A0" w:rsidR="00FE5106" w:rsidRPr="00F9451B" w:rsidRDefault="00FE5106" w:rsidP="00451AA1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F9451B">
        <w:rPr>
          <w:rFonts w:ascii="Calibri" w:hAnsi="Calibri" w:cs="Calibri"/>
          <w:color w:val="000000"/>
        </w:rPr>
        <w:t xml:space="preserve">osobní </w:t>
      </w:r>
      <w:r w:rsidR="00ED6C41">
        <w:rPr>
          <w:rFonts w:ascii="Calibri" w:hAnsi="Calibri" w:cs="Calibri"/>
          <w:color w:val="000000"/>
        </w:rPr>
        <w:t>výdaje</w:t>
      </w:r>
      <w:r w:rsidRPr="00F9451B">
        <w:rPr>
          <w:rFonts w:ascii="Calibri" w:hAnsi="Calibri" w:cs="Calibri"/>
          <w:color w:val="000000"/>
        </w:rPr>
        <w:t>, cestovní náhrady a ostatní výdaje za zaměstnance dle zvláštních právních předpisů</w:t>
      </w:r>
      <w:r>
        <w:rPr>
          <w:rFonts w:ascii="Calibri" w:hAnsi="Calibri" w:cs="Calibri"/>
          <w:color w:val="000000"/>
        </w:rPr>
        <w:t>,</w:t>
      </w:r>
    </w:p>
    <w:p w14:paraId="496F84A7" w14:textId="77777777" w:rsidR="00FE5106" w:rsidRPr="00F9451B" w:rsidRDefault="00FE5106" w:rsidP="00451AA1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F9451B">
        <w:rPr>
          <w:rFonts w:ascii="Calibri" w:hAnsi="Calibri" w:cs="Calibri"/>
          <w:color w:val="000000"/>
        </w:rPr>
        <w:t>úroky z úvěrů a půjček</w:t>
      </w:r>
      <w:r>
        <w:rPr>
          <w:rFonts w:ascii="Calibri" w:hAnsi="Calibri" w:cs="Calibri"/>
          <w:color w:val="000000"/>
        </w:rPr>
        <w:t>,</w:t>
      </w:r>
      <w:r w:rsidRPr="00F9451B">
        <w:rPr>
          <w:rFonts w:ascii="Calibri" w:hAnsi="Calibri" w:cs="Calibri"/>
          <w:color w:val="000000"/>
        </w:rPr>
        <w:t xml:space="preserve"> </w:t>
      </w:r>
    </w:p>
    <w:p w14:paraId="5640CA8A" w14:textId="6E98CAE4" w:rsidR="00FE5106" w:rsidRPr="009A51DD" w:rsidRDefault="00FE5106" w:rsidP="00451AA1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9A51DD">
        <w:rPr>
          <w:rFonts w:ascii="Calibri" w:hAnsi="Calibri" w:cs="Calibri"/>
          <w:color w:val="000000"/>
        </w:rPr>
        <w:t>sankční poplatky, pokuty a penále, případně další sankční výdaje vyplývající ze smluv nebo dalších příčin, storno poplatky,</w:t>
      </w:r>
      <w:r>
        <w:rPr>
          <w:rFonts w:ascii="Calibri" w:hAnsi="Calibri" w:cs="Calibri"/>
          <w:color w:val="000000"/>
        </w:rPr>
        <w:t xml:space="preserve"> </w:t>
      </w:r>
      <w:r w:rsidRPr="009A51DD">
        <w:rPr>
          <w:rFonts w:ascii="Calibri" w:hAnsi="Calibri" w:cs="Calibri"/>
          <w:color w:val="000000"/>
        </w:rPr>
        <w:t>výdaje na právní spory vzniklé v souvislosti s určitým projektem, např. výdaje na uhrazení soudního poplatku, na pořízení důkazů, na právní zastoupení v</w:t>
      </w:r>
      <w:r w:rsidR="00E742D4">
        <w:rPr>
          <w:rFonts w:ascii="Calibri" w:hAnsi="Calibri" w:cs="Calibri"/>
          <w:color w:val="000000"/>
        </w:rPr>
        <w:t> </w:t>
      </w:r>
      <w:r w:rsidRPr="009A51DD">
        <w:rPr>
          <w:rFonts w:ascii="Calibri" w:hAnsi="Calibri" w:cs="Calibri"/>
          <w:color w:val="000000"/>
        </w:rPr>
        <w:t xml:space="preserve">případě sporu, výdaje na právní obranu proti postupu poskytovatele dotace, penále, pokuty, jiné sankční výdaje a právní výlohy </w:t>
      </w:r>
      <w:r w:rsidRPr="00451AA1">
        <w:rPr>
          <w:rFonts w:ascii="Calibri" w:hAnsi="Calibri" w:cs="Calibri"/>
          <w:color w:val="000000"/>
        </w:rPr>
        <w:t>související</w:t>
      </w:r>
      <w:r w:rsidRPr="009A51DD">
        <w:rPr>
          <w:rFonts w:ascii="Calibri" w:hAnsi="Calibri" w:cs="Calibri"/>
          <w:color w:val="000000"/>
        </w:rPr>
        <w:t xml:space="preserve"> s právním sporem</w:t>
      </w:r>
      <w:r>
        <w:rPr>
          <w:rFonts w:ascii="Calibri" w:hAnsi="Calibri" w:cs="Calibri"/>
          <w:color w:val="000000"/>
        </w:rPr>
        <w:t>,</w:t>
      </w:r>
      <w:r w:rsidRPr="009A51DD">
        <w:rPr>
          <w:rFonts w:ascii="Calibri" w:hAnsi="Calibri" w:cs="Calibri"/>
          <w:color w:val="000000"/>
        </w:rPr>
        <w:t xml:space="preserve"> </w:t>
      </w:r>
    </w:p>
    <w:p w14:paraId="0EA7021A" w14:textId="77777777" w:rsidR="00FE5106" w:rsidRPr="00F9451B" w:rsidRDefault="00FE5106" w:rsidP="00451AA1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výdaje na </w:t>
      </w:r>
      <w:r w:rsidRPr="00F9451B">
        <w:rPr>
          <w:rFonts w:ascii="Calibri" w:hAnsi="Calibri" w:cs="Calibri"/>
          <w:color w:val="000000"/>
        </w:rPr>
        <w:t xml:space="preserve">znalecký posudek, </w:t>
      </w:r>
    </w:p>
    <w:p w14:paraId="38085D7D" w14:textId="77777777" w:rsidR="00FE5106" w:rsidRPr="009A51DD" w:rsidRDefault="453CD58F" w:rsidP="00451AA1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9A51DD">
        <w:rPr>
          <w:rFonts w:ascii="Calibri" w:hAnsi="Calibri" w:cs="Calibri"/>
          <w:color w:val="000000"/>
        </w:rPr>
        <w:t>daň z přidané hodnoty podle zvláštního právního předpisu</w:t>
      </w:r>
      <w:r w:rsidR="00FE5106" w:rsidRPr="00E742D4">
        <w:rPr>
          <w:vertAlign w:val="superscript"/>
        </w:rPr>
        <w:footnoteReference w:id="15"/>
      </w:r>
      <w:r w:rsidRPr="009A51DD">
        <w:rPr>
          <w:rFonts w:ascii="Calibri" w:hAnsi="Calibri" w:cs="Calibri"/>
          <w:color w:val="000000"/>
        </w:rPr>
        <w:t>, která se vztahuje k nezpůsobilému výdaji plnění. Pokud je dané plnění nezpůsobilým výdajem pouze z části, je nezpůsobilým výdajem rovněž pouze poměrná část DPH vztahující se k tomuto plnění,</w:t>
      </w:r>
    </w:p>
    <w:p w14:paraId="33F7472C" w14:textId="77777777" w:rsidR="00FE5106" w:rsidRPr="00F9451B" w:rsidRDefault="00FE5106" w:rsidP="00451AA1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F9451B">
        <w:rPr>
          <w:rFonts w:ascii="Calibri" w:hAnsi="Calibri" w:cs="Calibri"/>
          <w:color w:val="000000"/>
        </w:rPr>
        <w:t>přímé daně</w:t>
      </w:r>
      <w:r>
        <w:rPr>
          <w:rFonts w:ascii="Calibri" w:hAnsi="Calibri" w:cs="Calibri"/>
          <w:color w:val="000000"/>
        </w:rPr>
        <w:t xml:space="preserve">, </w:t>
      </w:r>
      <w:r w:rsidRPr="00F9451B">
        <w:rPr>
          <w:rFonts w:ascii="Calibri" w:hAnsi="Calibri" w:cs="Calibri"/>
          <w:color w:val="000000"/>
        </w:rPr>
        <w:t>silniční daň, daň z nemovitostí, daň darovací, daň dědická, cla</w:t>
      </w:r>
      <w:r>
        <w:rPr>
          <w:rFonts w:ascii="Calibri" w:hAnsi="Calibri" w:cs="Calibri"/>
          <w:color w:val="000000"/>
        </w:rPr>
        <w:t xml:space="preserve"> </w:t>
      </w:r>
      <w:r w:rsidRPr="00CD49E0">
        <w:rPr>
          <w:rFonts w:ascii="Calibri" w:hAnsi="Calibri" w:cs="Calibri"/>
          <w:color w:val="000000"/>
        </w:rPr>
        <w:t>a další celní poplatky</w:t>
      </w:r>
      <w:r w:rsidRPr="00F9451B">
        <w:rPr>
          <w:rFonts w:ascii="Calibri" w:hAnsi="Calibri" w:cs="Calibri"/>
          <w:color w:val="000000"/>
        </w:rPr>
        <w:t xml:space="preserve"> apod.)</w:t>
      </w:r>
      <w:r>
        <w:rPr>
          <w:rFonts w:ascii="Calibri" w:hAnsi="Calibri" w:cs="Calibri"/>
          <w:color w:val="000000"/>
        </w:rPr>
        <w:t>,</w:t>
      </w:r>
      <w:r w:rsidRPr="00F9451B">
        <w:rPr>
          <w:rFonts w:ascii="Calibri" w:hAnsi="Calibri" w:cs="Calibri"/>
          <w:color w:val="000000"/>
        </w:rPr>
        <w:t xml:space="preserve"> </w:t>
      </w:r>
    </w:p>
    <w:p w14:paraId="307236C1" w14:textId="61DDCA7E" w:rsidR="00FE5106" w:rsidRPr="00E742D4" w:rsidRDefault="453CD58F" w:rsidP="00451AA1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E742D4">
        <w:rPr>
          <w:rFonts w:ascii="Calibri" w:hAnsi="Calibri" w:cs="Calibri"/>
          <w:color w:val="000000"/>
        </w:rPr>
        <w:t xml:space="preserve">na </w:t>
      </w:r>
      <w:r w:rsidR="00F17502">
        <w:rPr>
          <w:rFonts w:ascii="Calibri" w:hAnsi="Calibri" w:cs="Calibri"/>
          <w:color w:val="000000"/>
        </w:rPr>
        <w:t xml:space="preserve">projektové </w:t>
      </w:r>
      <w:r w:rsidR="00615103">
        <w:rPr>
          <w:rFonts w:ascii="Calibri" w:hAnsi="Calibri" w:cs="Calibri"/>
          <w:color w:val="000000"/>
        </w:rPr>
        <w:t>aktivity</w:t>
      </w:r>
      <w:r w:rsidRPr="00E742D4">
        <w:rPr>
          <w:rFonts w:ascii="Calibri" w:hAnsi="Calibri" w:cs="Calibri"/>
          <w:color w:val="000000"/>
        </w:rPr>
        <w:t xml:space="preserve">, </w:t>
      </w:r>
      <w:r w:rsidR="00615103" w:rsidRPr="00E742D4">
        <w:rPr>
          <w:rFonts w:ascii="Calibri" w:hAnsi="Calibri" w:cs="Calibri"/>
          <w:color w:val="000000"/>
        </w:rPr>
        <w:t>kter</w:t>
      </w:r>
      <w:r w:rsidR="00615103">
        <w:rPr>
          <w:rFonts w:ascii="Calibri" w:hAnsi="Calibri" w:cs="Calibri"/>
          <w:color w:val="000000"/>
        </w:rPr>
        <w:t>é</w:t>
      </w:r>
      <w:r w:rsidR="00615103" w:rsidRPr="00E742D4">
        <w:rPr>
          <w:rFonts w:ascii="Calibri" w:hAnsi="Calibri" w:cs="Calibri"/>
          <w:color w:val="000000"/>
        </w:rPr>
        <w:t xml:space="preserve"> </w:t>
      </w:r>
      <w:r w:rsidRPr="00E742D4">
        <w:rPr>
          <w:rFonts w:ascii="Calibri" w:hAnsi="Calibri" w:cs="Calibri"/>
          <w:color w:val="000000"/>
        </w:rPr>
        <w:t>nevyhovují požadavkům DNSH</w:t>
      </w:r>
      <w:r w:rsidR="00FE5106" w:rsidRPr="00E742D4">
        <w:rPr>
          <w:vertAlign w:val="superscript"/>
        </w:rPr>
        <w:footnoteReference w:id="16"/>
      </w:r>
      <w:r w:rsidRPr="00E742D4">
        <w:rPr>
          <w:rFonts w:ascii="Calibri" w:hAnsi="Calibri" w:cs="Calibri"/>
          <w:color w:val="000000"/>
        </w:rPr>
        <w:t xml:space="preserve"> nebo významně poškozují</w:t>
      </w:r>
      <w:r w:rsidR="00FE5106" w:rsidRPr="00E742D4">
        <w:rPr>
          <w:vertAlign w:val="superscript"/>
        </w:rPr>
        <w:footnoteReference w:id="17"/>
      </w:r>
      <w:r w:rsidR="31F4CFE8" w:rsidRPr="00E742D4">
        <w:rPr>
          <w:rFonts w:ascii="Calibri" w:hAnsi="Calibri" w:cs="Calibri"/>
          <w:color w:val="000000"/>
        </w:rPr>
        <w:t xml:space="preserve"> </w:t>
      </w:r>
      <w:r w:rsidRPr="00E742D4">
        <w:rPr>
          <w:rFonts w:ascii="Calibri" w:hAnsi="Calibri" w:cs="Calibri"/>
          <w:color w:val="000000"/>
        </w:rPr>
        <w:t xml:space="preserve">některou z oblastí uvedených </w:t>
      </w:r>
      <w:r w:rsidRPr="00506B6B">
        <w:rPr>
          <w:rFonts w:ascii="Calibri" w:hAnsi="Calibri" w:cs="Calibri"/>
          <w:color w:val="000000"/>
        </w:rPr>
        <w:t xml:space="preserve">v </w:t>
      </w:r>
      <w:r w:rsidR="31F4CFE8" w:rsidRPr="00506B6B">
        <w:rPr>
          <w:rFonts w:ascii="Calibri" w:hAnsi="Calibri" w:cs="Calibri"/>
          <w:bCs/>
          <w:color w:val="000000"/>
        </w:rPr>
        <w:t>Deklaraci o plnění zásady „významně nepoškozovat“</w:t>
      </w:r>
      <w:r w:rsidR="00506B6B">
        <w:rPr>
          <w:rFonts w:ascii="Calibri" w:hAnsi="Calibri" w:cs="Calibri"/>
          <w:bCs/>
          <w:color w:val="000000"/>
        </w:rPr>
        <w:t xml:space="preserve"> – viz přílohy žádosti o poskytnutí dotace</w:t>
      </w:r>
      <w:r w:rsidRPr="00506B6B">
        <w:rPr>
          <w:rFonts w:ascii="Calibri" w:hAnsi="Calibri" w:cs="Calibri"/>
          <w:color w:val="000000"/>
        </w:rPr>
        <w:t>.</w:t>
      </w:r>
      <w:r w:rsidRPr="00E742D4">
        <w:rPr>
          <w:rFonts w:ascii="Calibri" w:hAnsi="Calibri" w:cs="Calibri"/>
          <w:color w:val="000000"/>
        </w:rPr>
        <w:t xml:space="preserve"> </w:t>
      </w:r>
    </w:p>
    <w:p w14:paraId="28AB66CD" w14:textId="59BBCF92" w:rsidR="00FE5106" w:rsidRPr="00CD49E0" w:rsidRDefault="00FE5106" w:rsidP="00451AA1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CD49E0">
        <w:rPr>
          <w:rFonts w:ascii="Calibri" w:hAnsi="Calibri" w:cs="Calibri"/>
          <w:color w:val="000000"/>
        </w:rPr>
        <w:t>výdaje na</w:t>
      </w:r>
      <w:r>
        <w:rPr>
          <w:rFonts w:ascii="Calibri" w:hAnsi="Calibri" w:cs="Calibri"/>
          <w:color w:val="000000"/>
        </w:rPr>
        <w:t xml:space="preserve"> </w:t>
      </w:r>
      <w:r w:rsidRPr="001775EF">
        <w:rPr>
          <w:rFonts w:ascii="Calibri" w:hAnsi="Calibri" w:cs="Calibri"/>
          <w:color w:val="000000"/>
        </w:rPr>
        <w:t>pořízení,</w:t>
      </w:r>
      <w:r w:rsidRPr="00CD49E0">
        <w:rPr>
          <w:rFonts w:ascii="Calibri" w:hAnsi="Calibri" w:cs="Calibri"/>
          <w:color w:val="000000"/>
        </w:rPr>
        <w:t xml:space="preserve"> obnovu, údržbu nebo opravy běžné kancelářské techniky a ICT (HW </w:t>
      </w:r>
      <w:r w:rsidR="00B22886">
        <w:rPr>
          <w:rFonts w:ascii="Calibri" w:hAnsi="Calibri" w:cs="Calibri"/>
          <w:color w:val="000000"/>
        </w:rPr>
        <w:br/>
      </w:r>
      <w:r w:rsidRPr="00CD49E0">
        <w:rPr>
          <w:rFonts w:ascii="Calibri" w:hAnsi="Calibri" w:cs="Calibri"/>
          <w:color w:val="000000"/>
        </w:rPr>
        <w:t>a přenosná výpočetní technika a elektronika jako jsou běžné osobní počítače, notebooky, tablety, mobilní telefony, iBooky, iPady atp., a dále kopírky, tiskárny, plottery, projekční nebo jiná zobrazovací a telekomunikační technika, televizní a radiové přijímače atp.) a dále běžný kancelářský SW bez ohledu na výrobce (vč. SW aplikací, internetových prohlížečů, antivirové ochrany, bezpečnostních, zálohovacích, ekonomicko-administrativních a</w:t>
      </w:r>
      <w:r>
        <w:rPr>
          <w:rFonts w:ascii="Calibri" w:hAnsi="Calibri" w:cs="Calibri"/>
          <w:color w:val="000000"/>
        </w:rPr>
        <w:t> </w:t>
      </w:r>
      <w:r w:rsidRPr="00CD49E0">
        <w:rPr>
          <w:rFonts w:ascii="Calibri" w:hAnsi="Calibri" w:cs="Calibri"/>
          <w:color w:val="000000"/>
        </w:rPr>
        <w:t>informačních systémů obecného užití atp.)</w:t>
      </w:r>
      <w:r>
        <w:rPr>
          <w:rFonts w:ascii="Calibri" w:hAnsi="Calibri" w:cs="Calibri"/>
          <w:color w:val="000000"/>
        </w:rPr>
        <w:t>,</w:t>
      </w:r>
      <w:r w:rsidRPr="00CD49E0">
        <w:rPr>
          <w:rFonts w:ascii="Calibri" w:hAnsi="Calibri" w:cs="Calibri"/>
          <w:color w:val="000000"/>
        </w:rPr>
        <w:t xml:space="preserve"> </w:t>
      </w:r>
    </w:p>
    <w:p w14:paraId="52939466" w14:textId="14AE4135" w:rsidR="00FE5106" w:rsidRPr="004911BE" w:rsidRDefault="453CD58F" w:rsidP="00451AA1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37D2F4C1">
        <w:rPr>
          <w:rFonts w:ascii="Calibri" w:hAnsi="Calibri" w:cs="Calibri"/>
          <w:color w:val="000000" w:themeColor="text1"/>
        </w:rPr>
        <w:t xml:space="preserve">dlouhodobý nehmotný </w:t>
      </w:r>
      <w:r w:rsidR="002A7C45" w:rsidRPr="37D2F4C1">
        <w:rPr>
          <w:rFonts w:ascii="Calibri" w:hAnsi="Calibri" w:cs="Calibri"/>
          <w:color w:val="000000" w:themeColor="text1"/>
        </w:rPr>
        <w:t>majetek – software</w:t>
      </w:r>
      <w:r w:rsidRPr="37D2F4C1">
        <w:rPr>
          <w:rFonts w:ascii="Calibri" w:hAnsi="Calibri" w:cs="Calibri"/>
          <w:color w:val="000000" w:themeColor="text1"/>
        </w:rPr>
        <w:t xml:space="preserve">, nákup databází (včetně aktualizace), nákup práv duševního vlastnictví (know-how, licence, patenty), atd. </w:t>
      </w:r>
    </w:p>
    <w:p w14:paraId="02B0E34D" w14:textId="77777777" w:rsidR="00FE5106" w:rsidRPr="00CD49E0" w:rsidRDefault="00FE5106" w:rsidP="00451AA1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CD49E0">
        <w:rPr>
          <w:rFonts w:ascii="Calibri" w:hAnsi="Calibri" w:cs="Calibri"/>
          <w:color w:val="000000"/>
        </w:rPr>
        <w:t xml:space="preserve">výdaje na provoz a přístupy do internetových a dalších sítí, včetně interních sítí příjemce </w:t>
      </w:r>
      <w:r>
        <w:rPr>
          <w:rFonts w:ascii="Calibri" w:hAnsi="Calibri" w:cs="Calibri"/>
          <w:color w:val="000000"/>
        </w:rPr>
        <w:t>dotace</w:t>
      </w:r>
      <w:r w:rsidRPr="00CD49E0">
        <w:rPr>
          <w:rFonts w:ascii="Calibri" w:hAnsi="Calibri" w:cs="Calibri"/>
          <w:color w:val="000000"/>
        </w:rPr>
        <w:t xml:space="preserve"> a jejich upgrade, </w:t>
      </w:r>
    </w:p>
    <w:p w14:paraId="570CB712" w14:textId="77777777" w:rsidR="00FE5106" w:rsidRPr="00CD49E0" w:rsidRDefault="00FE5106" w:rsidP="00451AA1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CD49E0">
        <w:rPr>
          <w:rFonts w:ascii="Calibri" w:hAnsi="Calibri" w:cs="Calibri"/>
          <w:color w:val="000000"/>
        </w:rPr>
        <w:t xml:space="preserve">výdaje na pořízení aut a dalších typů dopravních prostředků, </w:t>
      </w:r>
    </w:p>
    <w:p w14:paraId="1DD80CED" w14:textId="77777777" w:rsidR="00FE5106" w:rsidRPr="00F25B7A" w:rsidRDefault="00FE5106" w:rsidP="00451AA1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CD49E0">
        <w:rPr>
          <w:rFonts w:ascii="Calibri" w:hAnsi="Calibri" w:cs="Calibri"/>
          <w:color w:val="000000"/>
        </w:rPr>
        <w:t xml:space="preserve">výdaje na pořizování, provoz a pronájmy nemovitostí, nájmy a pronájmy jednotlivých prostor, </w:t>
      </w:r>
      <w:r w:rsidRPr="00F25B7A">
        <w:rPr>
          <w:rFonts w:ascii="Calibri" w:hAnsi="Calibri" w:cs="Calibri"/>
          <w:color w:val="000000"/>
        </w:rPr>
        <w:t>výdaje související s použitím dočasných náhradních prostor vč. výdajů na stěhování,</w:t>
      </w:r>
    </w:p>
    <w:p w14:paraId="0474B359" w14:textId="77777777" w:rsidR="00FE5106" w:rsidRPr="00CD49E0" w:rsidRDefault="00FE5106" w:rsidP="00451AA1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CD49E0">
        <w:rPr>
          <w:rFonts w:ascii="Calibri" w:hAnsi="Calibri" w:cs="Calibri"/>
          <w:color w:val="000000"/>
        </w:rPr>
        <w:t xml:space="preserve">nepřímé daně a poplatky, </w:t>
      </w:r>
    </w:p>
    <w:p w14:paraId="049C53F0" w14:textId="77777777" w:rsidR="00FE5106" w:rsidRPr="00CD49E0" w:rsidRDefault="00FE5106" w:rsidP="00451AA1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k</w:t>
      </w:r>
      <w:r w:rsidRPr="00CD49E0">
        <w:rPr>
          <w:rFonts w:ascii="Calibri" w:hAnsi="Calibri" w:cs="Calibri"/>
          <w:color w:val="000000"/>
        </w:rPr>
        <w:t>urzové ztráty</w:t>
      </w:r>
      <w:r>
        <w:rPr>
          <w:rFonts w:ascii="Calibri" w:hAnsi="Calibri" w:cs="Calibri"/>
          <w:color w:val="000000"/>
        </w:rPr>
        <w:t>,</w:t>
      </w:r>
      <w:r w:rsidRPr="00CD49E0">
        <w:rPr>
          <w:rFonts w:ascii="Calibri" w:hAnsi="Calibri" w:cs="Calibri"/>
          <w:color w:val="000000"/>
        </w:rPr>
        <w:t xml:space="preserve"> </w:t>
      </w:r>
    </w:p>
    <w:p w14:paraId="7C4CCB71" w14:textId="616B4457" w:rsidR="00FE5106" w:rsidRDefault="00FE5106" w:rsidP="00451AA1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584B35">
        <w:rPr>
          <w:rFonts w:ascii="Calibri" w:hAnsi="Calibri" w:cs="Calibri"/>
          <w:color w:val="000000"/>
        </w:rPr>
        <w:t xml:space="preserve">výdaje na smluvní výzkum, poznatky a patenty </w:t>
      </w:r>
      <w:r w:rsidRPr="00F47421">
        <w:rPr>
          <w:rFonts w:ascii="Calibri" w:hAnsi="Calibri" w:cs="Calibri"/>
          <w:color w:val="000000"/>
        </w:rPr>
        <w:t>zakoupené nebo pořízené v rámci licence z</w:t>
      </w:r>
      <w:r>
        <w:rPr>
          <w:rFonts w:ascii="Calibri" w:hAnsi="Calibri" w:cs="Calibri"/>
          <w:color w:val="000000"/>
        </w:rPr>
        <w:t> </w:t>
      </w:r>
      <w:r w:rsidRPr="00F47421">
        <w:rPr>
          <w:rFonts w:ascii="Calibri" w:hAnsi="Calibri" w:cs="Calibri"/>
          <w:color w:val="000000"/>
        </w:rPr>
        <w:t>vnějších zdrojů</w:t>
      </w:r>
      <w:r w:rsidR="002964CD">
        <w:rPr>
          <w:rFonts w:ascii="Calibri" w:hAnsi="Calibri" w:cs="Calibri"/>
          <w:color w:val="000000"/>
        </w:rPr>
        <w:t>,</w:t>
      </w:r>
    </w:p>
    <w:p w14:paraId="6B299B57" w14:textId="01A22927" w:rsidR="008F6F02" w:rsidRDefault="008F6F02" w:rsidP="008F6F0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45116D92" w14:textId="48A560EB" w:rsidR="008F6F02" w:rsidRDefault="008F6F02" w:rsidP="008F6F0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0B83E560" w14:textId="5E034AB9" w:rsidR="008F6F02" w:rsidRDefault="008F6F02" w:rsidP="008F6F0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3F56738C" w14:textId="729BA19D" w:rsidR="008F6F02" w:rsidRDefault="008F6F02" w:rsidP="008F6F0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5794097B" w14:textId="77777777" w:rsidR="008F6F02" w:rsidRPr="008F6F02" w:rsidRDefault="008F6F02" w:rsidP="008F6F0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5FDEF45C" w14:textId="383063BD" w:rsidR="00FE5106" w:rsidRPr="00451AA1" w:rsidRDefault="00A33D2C" w:rsidP="37D2F4C1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v</w:t>
      </w:r>
      <w:r w:rsidR="453CD58F" w:rsidRPr="00A33D2C">
        <w:rPr>
          <w:rFonts w:ascii="Calibri" w:hAnsi="Calibri" w:cs="Calibri"/>
          <w:color w:val="000000" w:themeColor="text1"/>
        </w:rPr>
        <w:t>ýdaje na rozvoj, obnovu nebo vytvoření ploch využívaných k pronájmu (pronájem provozovatelů stravovacích zařízení apod.), nebo spravované na základě komerčního pronájmu v rozporu s veřejnou podporou podle čl. 107</w:t>
      </w:r>
      <w:r w:rsidR="37D2F4C1" w:rsidRPr="00A33D2C">
        <w:rPr>
          <w:rFonts w:ascii="Calibri" w:eastAsia="Calibri" w:hAnsi="Calibri" w:cs="Calibri"/>
        </w:rPr>
        <w:t xml:space="preserve"> odst. 1 Smlouvy o fungování Evropské unie</w:t>
      </w:r>
      <w:r w:rsidR="00FE5106" w:rsidRPr="37D2F4C1">
        <w:rPr>
          <w:rFonts w:ascii="Calibri" w:eastAsia="Calibri" w:hAnsi="Calibri" w:cs="Calibri"/>
          <w:vertAlign w:val="superscript"/>
        </w:rPr>
        <w:footnoteReference w:id="18"/>
      </w:r>
      <w:r w:rsidR="37D2F4C1" w:rsidRPr="00A33D2C">
        <w:rPr>
          <w:rFonts w:ascii="Calibri" w:eastAsia="Calibri" w:hAnsi="Calibri" w:cs="Calibri"/>
        </w:rPr>
        <w:t xml:space="preserve"> (GBER).</w:t>
      </w:r>
    </w:p>
    <w:sectPr w:rsidR="00FE5106" w:rsidRPr="00451AA1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CB54E" w14:textId="77777777" w:rsidR="004E1777" w:rsidRDefault="004E1777" w:rsidP="00FE5106">
      <w:pPr>
        <w:spacing w:after="0" w:line="240" w:lineRule="auto"/>
      </w:pPr>
      <w:r>
        <w:separator/>
      </w:r>
    </w:p>
  </w:endnote>
  <w:endnote w:type="continuationSeparator" w:id="0">
    <w:p w14:paraId="2E8C6112" w14:textId="77777777" w:rsidR="004E1777" w:rsidRDefault="004E1777" w:rsidP="00FE5106">
      <w:pPr>
        <w:spacing w:after="0" w:line="240" w:lineRule="auto"/>
      </w:pPr>
      <w:r>
        <w:continuationSeparator/>
      </w:r>
    </w:p>
  </w:endnote>
  <w:endnote w:type="continuationNotice" w:id="1">
    <w:p w14:paraId="4AD79D02" w14:textId="77777777" w:rsidR="004E1777" w:rsidRDefault="004E1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2B265" w14:textId="77777777" w:rsidR="004E1777" w:rsidRDefault="004E1777" w:rsidP="00FE5106">
      <w:pPr>
        <w:spacing w:after="0" w:line="240" w:lineRule="auto"/>
      </w:pPr>
      <w:r>
        <w:separator/>
      </w:r>
    </w:p>
  </w:footnote>
  <w:footnote w:type="continuationSeparator" w:id="0">
    <w:p w14:paraId="038F3EC1" w14:textId="77777777" w:rsidR="004E1777" w:rsidRDefault="004E1777" w:rsidP="00FE5106">
      <w:pPr>
        <w:spacing w:after="0" w:line="240" w:lineRule="auto"/>
      </w:pPr>
      <w:r>
        <w:continuationSeparator/>
      </w:r>
    </w:p>
  </w:footnote>
  <w:footnote w:type="continuationNotice" w:id="1">
    <w:p w14:paraId="756A5FE7" w14:textId="77777777" w:rsidR="004E1777" w:rsidRDefault="004E1777">
      <w:pPr>
        <w:spacing w:after="0" w:line="240" w:lineRule="auto"/>
      </w:pPr>
    </w:p>
  </w:footnote>
  <w:footnote w:id="2">
    <w:p w14:paraId="14403110" w14:textId="4F12BF25" w:rsidR="00E65954" w:rsidRDefault="00E65954" w:rsidP="00280364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37D2F4C1">
        <w:rPr>
          <w:rFonts w:ascii="Calibri" w:eastAsia="Calibri" w:hAnsi="Calibri" w:cs="Calibri"/>
        </w:rPr>
        <w:t>Nástroj pro oživení a odolnost (</w:t>
      </w:r>
      <w:r w:rsidRPr="37D2F4C1">
        <w:rPr>
          <w:rFonts w:ascii="Calibri" w:eastAsia="Calibri" w:hAnsi="Calibri" w:cs="Calibri"/>
          <w:i/>
          <w:iCs/>
          <w:lang w:val="en-GB"/>
        </w:rPr>
        <w:t>Resilience and Recovery Facility</w:t>
      </w:r>
      <w:r>
        <w:rPr>
          <w:rFonts w:ascii="Calibri" w:eastAsia="Calibri" w:hAnsi="Calibri" w:cs="Calibri"/>
          <w:i/>
          <w:iCs/>
          <w:lang w:val="en-GB"/>
        </w:rPr>
        <w:t>)</w:t>
      </w:r>
      <w:r w:rsidRPr="37D2F4C1">
        <w:rPr>
          <w:rFonts w:ascii="Calibri" w:eastAsia="Calibri" w:hAnsi="Calibri" w:cs="Calibri"/>
          <w:i/>
          <w:iCs/>
          <w:lang w:val="en-GB"/>
        </w:rPr>
        <w:t>, dále jen “</w:t>
      </w:r>
      <w:r>
        <w:rPr>
          <w:rFonts w:ascii="Calibri" w:eastAsia="Calibri" w:hAnsi="Calibri" w:cs="Calibri"/>
          <w:i/>
          <w:iCs/>
          <w:lang w:val="en-GB"/>
        </w:rPr>
        <w:t>NPO</w:t>
      </w:r>
      <w:r w:rsidRPr="37D2F4C1">
        <w:rPr>
          <w:rFonts w:ascii="Calibri" w:eastAsia="Calibri" w:hAnsi="Calibri" w:cs="Calibri"/>
          <w:i/>
          <w:iCs/>
          <w:lang w:val="en-GB"/>
        </w:rPr>
        <w:t>”</w:t>
      </w:r>
      <w:r>
        <w:rPr>
          <w:rFonts w:ascii="Calibri" w:eastAsia="Calibri" w:hAnsi="Calibri" w:cs="Calibri"/>
          <w:i/>
          <w:iCs/>
          <w:lang w:val="en-GB"/>
        </w:rPr>
        <w:t xml:space="preserve"> nebo “RRF”.</w:t>
      </w:r>
      <w:r w:rsidRPr="37D2F4C1">
        <w:rPr>
          <w:rFonts w:ascii="Calibri" w:hAnsi="Calibri" w:cs="Calibri"/>
          <w:color w:val="000000" w:themeColor="text1"/>
        </w:rPr>
        <w:t xml:space="preserve"> </w:t>
      </w:r>
    </w:p>
  </w:footnote>
  <w:footnote w:id="3">
    <w:p w14:paraId="51E0A992" w14:textId="5D1F2D5A" w:rsidR="00E65954" w:rsidRDefault="00E65954" w:rsidP="00280364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E65954">
        <w:t>Příjemce dotace je povinen v této záležitosti se kromě výše uvedeného řídit také pokyny uvedenými v</w:t>
      </w:r>
      <w:r>
        <w:t> </w:t>
      </w:r>
      <w:r w:rsidRPr="00E65954">
        <w:t>Metodickém pokynu systému varovných signálů „RED FLAGS“ pro Národní plán obnovy na období 2021-2026 a</w:t>
      </w:r>
      <w:r>
        <w:t> </w:t>
      </w:r>
      <w:r w:rsidRPr="00E65954">
        <w:t xml:space="preserve">v Metodickém pokynu pro nesrovnalosti pro Národní plán obnovy na období 2021-2026, které jsou zveřejněny na webové stránce NPO v sekci „Dokumenty“ </w:t>
      </w:r>
      <w:proofErr w:type="gramStart"/>
      <w:r w:rsidRPr="00E65954">
        <w:t>https://www.planobnovycr.cz/dokumenty  .</w:t>
      </w:r>
      <w:proofErr w:type="gramEnd"/>
    </w:p>
  </w:footnote>
  <w:footnote w:id="4">
    <w:p w14:paraId="41105AB4" w14:textId="6DDB98B4" w:rsidR="00E65954" w:rsidRPr="00E65954" w:rsidRDefault="00E65954" w:rsidP="00280364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E65954">
        <w:t>Příjemce dotace je povinen efektivně eliminovat významné poškozování environmentálních cílů definovaných v článku 17 Nařízení Evropského parlamentu a Rady (EU) 2020/852 ze dne 18. června 2020 o zřízení rámce pro usnadnění udržitelných investic a o změně nařízení (EU) 2019/2088 ve smyslu Oznámení Komise Technické pokyny k uplatňování zásady „významně nepoškozovat“ podle Nařízení RRF (2021/C 58/01). K tomu je povinen smluvně zavázat své dodavatele a další účastníky Investice.</w:t>
      </w:r>
    </w:p>
    <w:p w14:paraId="1C05CDE3" w14:textId="2AA12C87" w:rsidR="00E65954" w:rsidRDefault="00E65954">
      <w:pPr>
        <w:pStyle w:val="Textpoznpodarou"/>
      </w:pPr>
    </w:p>
  </w:footnote>
  <w:footnote w:id="5">
    <w:p w14:paraId="1023866F" w14:textId="77777777" w:rsidR="00FE5106" w:rsidRPr="00F244E5" w:rsidRDefault="00FE5106" w:rsidP="00FE5106">
      <w:pPr>
        <w:pStyle w:val="Textpoznpodarou"/>
        <w:jc w:val="both"/>
        <w:rPr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r>
        <w:rPr>
          <w:sz w:val="18"/>
          <w:szCs w:val="18"/>
        </w:rPr>
        <w:t>P</w:t>
      </w:r>
      <w:r w:rsidRPr="00F244E5">
        <w:rPr>
          <w:sz w:val="18"/>
          <w:szCs w:val="18"/>
        </w:rPr>
        <w:t xml:space="preserve">řed vydáním </w:t>
      </w:r>
      <w:r>
        <w:rPr>
          <w:sz w:val="18"/>
          <w:szCs w:val="18"/>
        </w:rPr>
        <w:t>rozhodnutí</w:t>
      </w:r>
      <w:r w:rsidRPr="00F244E5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může být </w:t>
      </w:r>
      <w:r w:rsidRPr="00F244E5">
        <w:rPr>
          <w:sz w:val="18"/>
          <w:szCs w:val="18"/>
        </w:rPr>
        <w:t>uzavřena smlouva s</w:t>
      </w:r>
      <w:r>
        <w:rPr>
          <w:sz w:val="18"/>
          <w:szCs w:val="18"/>
        </w:rPr>
        <w:t> </w:t>
      </w:r>
      <w:r w:rsidRPr="00F244E5">
        <w:rPr>
          <w:sz w:val="18"/>
          <w:szCs w:val="18"/>
        </w:rPr>
        <w:t xml:space="preserve">dodavatelem/dodavateli při dodržení podmínky časové způsobilosti výdajů, tj. že do doby vydání </w:t>
      </w:r>
      <w:r>
        <w:rPr>
          <w:sz w:val="18"/>
          <w:szCs w:val="18"/>
        </w:rPr>
        <w:t>rozhodnutí</w:t>
      </w:r>
      <w:r w:rsidRPr="00F244E5">
        <w:rPr>
          <w:sz w:val="18"/>
          <w:szCs w:val="18"/>
        </w:rPr>
        <w:t xml:space="preserve"> nebo do data zahájení fyzické realizace projektu, jsou způsobilé pouze výdaje na přípravu projektu a</w:t>
      </w:r>
      <w:r>
        <w:rPr>
          <w:sz w:val="18"/>
          <w:szCs w:val="18"/>
        </w:rPr>
        <w:t> </w:t>
      </w:r>
      <w:r w:rsidRPr="00F244E5">
        <w:rPr>
          <w:sz w:val="18"/>
          <w:szCs w:val="18"/>
        </w:rPr>
        <w:t xml:space="preserve">stavební práce mohou být zahájeny (rozumí se první záznam ve stavebním deníku) až po vydání </w:t>
      </w:r>
      <w:r>
        <w:rPr>
          <w:sz w:val="18"/>
          <w:szCs w:val="18"/>
        </w:rPr>
        <w:t>rozhodnutí</w:t>
      </w:r>
      <w:r w:rsidRPr="00F244E5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</w:p>
  </w:footnote>
  <w:footnote w:id="6">
    <w:p w14:paraId="3DE90C44" w14:textId="77777777" w:rsidR="00FE5106" w:rsidRPr="00F52D0E" w:rsidRDefault="00FE5106" w:rsidP="00FE5106">
      <w:pPr>
        <w:pStyle w:val="Textpoznpodarou"/>
        <w:rPr>
          <w:sz w:val="18"/>
          <w:szCs w:val="18"/>
        </w:rPr>
      </w:pPr>
      <w:r w:rsidRPr="00F52D0E">
        <w:rPr>
          <w:rStyle w:val="Znakapoznpodarou"/>
          <w:sz w:val="18"/>
          <w:szCs w:val="18"/>
        </w:rPr>
        <w:footnoteRef/>
      </w:r>
      <w:r w:rsidRPr="00F52D0E">
        <w:rPr>
          <w:sz w:val="18"/>
          <w:szCs w:val="18"/>
        </w:rPr>
        <w:t xml:space="preserve">  Zákon č. 340/2015 Sb., o zvláštních podmínkách účinnosti některých smluv, uveřejňování těchto smluv a o registru smluv (zákon o registru smluv), ve znění pozdějších předpisů.</w:t>
      </w:r>
    </w:p>
  </w:footnote>
  <w:footnote w:id="7">
    <w:p w14:paraId="2BFDA27B" w14:textId="5455A293" w:rsidR="37D2F4C1" w:rsidRPr="00F17502" w:rsidRDefault="37D2F4C1">
      <w:pPr>
        <w:rPr>
          <w:sz w:val="18"/>
          <w:szCs w:val="18"/>
        </w:rPr>
      </w:pPr>
      <w:r w:rsidRPr="37D2F4C1">
        <w:rPr>
          <w:vertAlign w:val="superscript"/>
        </w:rPr>
        <w:footnoteRef/>
      </w:r>
      <w:r w:rsidRPr="37D2F4C1">
        <w:rPr>
          <w:vertAlign w:val="superscript"/>
        </w:rPr>
        <w:t xml:space="preserve"> </w:t>
      </w:r>
      <w:r w:rsidRPr="00F17502">
        <w:rPr>
          <w:sz w:val="18"/>
          <w:szCs w:val="18"/>
        </w:rPr>
        <w:t>Vzhledem k zákonné povinnosti nemohou být takové výdaje považovány za způsobilé ani v rámci jiné dotační podpory.</w:t>
      </w:r>
    </w:p>
  </w:footnote>
  <w:footnote w:id="8">
    <w:p w14:paraId="30887288" w14:textId="77777777" w:rsidR="00FE5106" w:rsidRPr="000E0EF0" w:rsidRDefault="00FE5106" w:rsidP="00FE5106">
      <w:pPr>
        <w:pStyle w:val="Textpoznpodarou"/>
        <w:jc w:val="both"/>
        <w:rPr>
          <w:sz w:val="18"/>
          <w:szCs w:val="18"/>
        </w:rPr>
      </w:pPr>
      <w:r w:rsidRPr="000E0EF0">
        <w:rPr>
          <w:rStyle w:val="Znakapoznpodarou"/>
          <w:sz w:val="18"/>
          <w:szCs w:val="18"/>
        </w:rPr>
        <w:footnoteRef/>
      </w:r>
      <w:r w:rsidRPr="000E0EF0">
        <w:rPr>
          <w:sz w:val="18"/>
          <w:szCs w:val="18"/>
        </w:rPr>
        <w:t xml:space="preserve"> </w:t>
      </w:r>
      <w:r w:rsidRPr="000E0EF0">
        <w:rPr>
          <w:bCs/>
          <w:sz w:val="18"/>
          <w:szCs w:val="18"/>
        </w:rPr>
        <w:t xml:space="preserve">Výdaje se dále dělí na investiční a neinvestiční.  Výše ocenění </w:t>
      </w:r>
      <w:r w:rsidRPr="000E0EF0">
        <w:rPr>
          <w:sz w:val="18"/>
          <w:szCs w:val="18"/>
        </w:rPr>
        <w:t xml:space="preserve">dlouhodobého nehmotného majetku a hmotných movitých věcí a jejich souborů </w:t>
      </w:r>
      <w:r w:rsidRPr="000E0EF0">
        <w:rPr>
          <w:bCs/>
          <w:sz w:val="18"/>
          <w:szCs w:val="18"/>
        </w:rPr>
        <w:t xml:space="preserve">je řešena vnitřním předpisem žadatele/příjemce dotace. </w:t>
      </w:r>
    </w:p>
    <w:p w14:paraId="7D9E9F79" w14:textId="77777777" w:rsidR="00FE5106" w:rsidRPr="000E0EF0" w:rsidRDefault="00FE5106" w:rsidP="00FE5106">
      <w:pPr>
        <w:pStyle w:val="Textpoznpodarou"/>
        <w:jc w:val="both"/>
        <w:rPr>
          <w:sz w:val="18"/>
          <w:szCs w:val="18"/>
        </w:rPr>
      </w:pPr>
    </w:p>
  </w:footnote>
  <w:footnote w:id="9">
    <w:p w14:paraId="4958DD84" w14:textId="561B7CE1" w:rsidR="00FE5106" w:rsidRPr="00B87BAA" w:rsidRDefault="00FE5106" w:rsidP="00B87BAA">
      <w:pPr>
        <w:pStyle w:val="Textpoznpodarou"/>
        <w:jc w:val="both"/>
        <w:rPr>
          <w:sz w:val="18"/>
          <w:szCs w:val="18"/>
        </w:rPr>
      </w:pPr>
      <w:r w:rsidRPr="00B87BAA">
        <w:rPr>
          <w:rStyle w:val="Znakapoznpodarou"/>
          <w:sz w:val="18"/>
          <w:szCs w:val="18"/>
        </w:rPr>
        <w:footnoteRef/>
      </w:r>
      <w:r w:rsidRPr="00B87BAA">
        <w:rPr>
          <w:sz w:val="18"/>
          <w:szCs w:val="18"/>
        </w:rPr>
        <w:t xml:space="preserve"> </w:t>
      </w:r>
      <w:r w:rsidRPr="00B87BAA">
        <w:rPr>
          <w:bCs/>
          <w:sz w:val="18"/>
          <w:szCs w:val="18"/>
        </w:rPr>
        <w:t xml:space="preserve">Při vypočtu indexu způsobilosti společných prostor matematicky zaokrouhlí vypočtenou částku podílu (tj. plochy absolutně způsobilé/plochy absolutně způsobilé + plochy absolutně nezpůsobilé) na </w:t>
      </w:r>
      <w:r w:rsidR="00084944" w:rsidRPr="00B87BAA">
        <w:rPr>
          <w:bCs/>
          <w:sz w:val="18"/>
          <w:szCs w:val="18"/>
        </w:rPr>
        <w:t>4</w:t>
      </w:r>
      <w:r w:rsidRPr="00B87BAA">
        <w:rPr>
          <w:bCs/>
          <w:sz w:val="18"/>
          <w:szCs w:val="18"/>
        </w:rPr>
        <w:t xml:space="preserve"> desetinná místa a následně převede na %.  </w:t>
      </w:r>
    </w:p>
  </w:footnote>
  <w:footnote w:id="10">
    <w:p w14:paraId="4C60B54A" w14:textId="2475BB39" w:rsidR="37D2F4C1" w:rsidRPr="00B87BAA" w:rsidRDefault="37D2F4C1" w:rsidP="00B87BAA">
      <w:pPr>
        <w:spacing w:after="0" w:line="240" w:lineRule="auto"/>
        <w:jc w:val="both"/>
        <w:rPr>
          <w:sz w:val="18"/>
          <w:szCs w:val="18"/>
        </w:rPr>
      </w:pPr>
      <w:r w:rsidRPr="00B87BAA">
        <w:rPr>
          <w:sz w:val="18"/>
          <w:szCs w:val="18"/>
          <w:vertAlign w:val="superscript"/>
        </w:rPr>
        <w:footnoteRef/>
      </w:r>
      <w:r w:rsidRPr="00B87BAA">
        <w:rPr>
          <w:sz w:val="18"/>
          <w:szCs w:val="18"/>
          <w:vertAlign w:val="superscript"/>
        </w:rPr>
        <w:t xml:space="preserve"> </w:t>
      </w:r>
      <w:r w:rsidRPr="00B87BAA">
        <w:rPr>
          <w:sz w:val="18"/>
          <w:szCs w:val="18"/>
        </w:rPr>
        <w:t>Výše ocenění dlouhodobého nehmotného majetku a hmotných movitých věcí a jejich souborů je stanovena vnitřním předpisem příjemce dotace</w:t>
      </w:r>
      <w:r w:rsidR="00B87BAA" w:rsidRPr="00B87BAA">
        <w:rPr>
          <w:sz w:val="18"/>
          <w:szCs w:val="18"/>
        </w:rPr>
        <w:t>.</w:t>
      </w:r>
    </w:p>
  </w:footnote>
  <w:footnote w:id="11">
    <w:p w14:paraId="71FC5F46" w14:textId="2DC95407" w:rsidR="00B87BAA" w:rsidRDefault="00B87BA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B87BAA">
        <w:rPr>
          <w:sz w:val="18"/>
          <w:szCs w:val="18"/>
        </w:rPr>
        <w:t>Zákon č. 235/2004 Sb., o daní z přidané hodnoty, ve znění pozdějších předpisů.</w:t>
      </w:r>
    </w:p>
  </w:footnote>
  <w:footnote w:id="12">
    <w:p w14:paraId="3D45280C" w14:textId="0B94524B" w:rsidR="00B87BAA" w:rsidRPr="00B87BAA" w:rsidRDefault="00B87BAA">
      <w:pPr>
        <w:pStyle w:val="Textpoznpodarou"/>
        <w:rPr>
          <w:sz w:val="18"/>
          <w:szCs w:val="18"/>
        </w:rPr>
      </w:pPr>
      <w:r w:rsidRPr="00B87BAA">
        <w:rPr>
          <w:rStyle w:val="Znakapoznpodarou"/>
          <w:sz w:val="18"/>
          <w:szCs w:val="18"/>
        </w:rPr>
        <w:footnoteRef/>
      </w:r>
      <w:r w:rsidRPr="00B87BAA">
        <w:rPr>
          <w:sz w:val="18"/>
          <w:szCs w:val="18"/>
        </w:rPr>
        <w:t xml:space="preserve"> Dle § 44 odst. 2 písm. k) rozpočtových pravidel.</w:t>
      </w:r>
    </w:p>
  </w:footnote>
  <w:footnote w:id="13">
    <w:p w14:paraId="229B329D" w14:textId="3C88A386" w:rsidR="00FE5106" w:rsidRPr="00EA3A45" w:rsidRDefault="00FE5106" w:rsidP="00FE5106">
      <w:pPr>
        <w:pStyle w:val="Textpoznpodarou"/>
        <w:rPr>
          <w:sz w:val="18"/>
          <w:szCs w:val="18"/>
        </w:rPr>
      </w:pPr>
      <w:r w:rsidRPr="00EA3A45">
        <w:rPr>
          <w:rStyle w:val="Znakapoznpodarou"/>
          <w:sz w:val="18"/>
          <w:szCs w:val="18"/>
        </w:rPr>
        <w:footnoteRef/>
      </w:r>
      <w:r w:rsidRPr="00EA3A45">
        <w:rPr>
          <w:sz w:val="18"/>
          <w:szCs w:val="18"/>
        </w:rPr>
        <w:t xml:space="preserve"> </w:t>
      </w:r>
      <w:r w:rsidR="00EA3A45" w:rsidRPr="00EA3A45">
        <w:rPr>
          <w:sz w:val="18"/>
          <w:szCs w:val="18"/>
        </w:rPr>
        <w:t>Dle § 44 odst. 2 písm. h) rozpočtových pravidel.</w:t>
      </w:r>
    </w:p>
  </w:footnote>
  <w:footnote w:id="14">
    <w:p w14:paraId="36F164BD" w14:textId="77777777" w:rsidR="00FE5106" w:rsidRPr="00EA3A45" w:rsidRDefault="00FE5106" w:rsidP="00244A49">
      <w:pPr>
        <w:pStyle w:val="Textpoznpodarou"/>
        <w:jc w:val="both"/>
        <w:rPr>
          <w:rFonts w:cstheme="minorHAnsi"/>
          <w:sz w:val="18"/>
          <w:szCs w:val="18"/>
        </w:rPr>
      </w:pPr>
      <w:r w:rsidRPr="00EA3A45">
        <w:rPr>
          <w:rStyle w:val="Znakapoznpodarou"/>
          <w:rFonts w:cstheme="minorHAnsi"/>
          <w:sz w:val="18"/>
          <w:szCs w:val="18"/>
        </w:rPr>
        <w:footnoteRef/>
      </w:r>
      <w:r w:rsidRPr="00EA3A45">
        <w:rPr>
          <w:rFonts w:cstheme="minorHAnsi"/>
          <w:sz w:val="18"/>
          <w:szCs w:val="18"/>
        </w:rPr>
        <w:t xml:space="preserve"> Výše ocenění dlouhodobého nehmotného majetku a hmotných movitých věcí a jejich souborů je stanovena vnitřním předpisem příjemce dotace.</w:t>
      </w:r>
    </w:p>
  </w:footnote>
  <w:footnote w:id="15">
    <w:p w14:paraId="65B266DF" w14:textId="09E77583" w:rsidR="00FE5106" w:rsidRPr="00EA3A45" w:rsidRDefault="00FE5106" w:rsidP="00EA3A45">
      <w:pPr>
        <w:pStyle w:val="Textpoznpodarou"/>
        <w:rPr>
          <w:sz w:val="18"/>
          <w:szCs w:val="18"/>
        </w:rPr>
      </w:pPr>
      <w:r w:rsidRPr="00EA3A45">
        <w:rPr>
          <w:rStyle w:val="Znakapoznpodarou"/>
          <w:sz w:val="18"/>
          <w:szCs w:val="18"/>
        </w:rPr>
        <w:footnoteRef/>
      </w:r>
      <w:r w:rsidRPr="00EA3A45">
        <w:rPr>
          <w:sz w:val="18"/>
          <w:szCs w:val="18"/>
        </w:rPr>
        <w:t xml:space="preserve"> </w:t>
      </w:r>
      <w:r w:rsidR="00E742D4" w:rsidRPr="00EA3A45">
        <w:rPr>
          <w:sz w:val="18"/>
          <w:szCs w:val="18"/>
        </w:rPr>
        <w:t>Z</w:t>
      </w:r>
      <w:r w:rsidRPr="00EA3A45">
        <w:rPr>
          <w:sz w:val="18"/>
          <w:szCs w:val="18"/>
        </w:rPr>
        <w:t>ákon č. 235/2004 Sb., o dani z přidané hodnoty, ve znění pozdějších předpisů</w:t>
      </w:r>
      <w:r w:rsidR="00E742D4" w:rsidRPr="00EA3A45">
        <w:rPr>
          <w:sz w:val="18"/>
          <w:szCs w:val="18"/>
        </w:rPr>
        <w:t>.</w:t>
      </w:r>
    </w:p>
  </w:footnote>
  <w:footnote w:id="16">
    <w:p w14:paraId="08216C68" w14:textId="7AFAD05E" w:rsidR="00FE5106" w:rsidRPr="00EA3A45" w:rsidRDefault="00FE5106" w:rsidP="00EA3A45">
      <w:pPr>
        <w:pStyle w:val="Textpoznpodarou"/>
        <w:rPr>
          <w:sz w:val="18"/>
          <w:szCs w:val="18"/>
          <w:vertAlign w:val="superscript"/>
        </w:rPr>
      </w:pPr>
      <w:r w:rsidRPr="00EA3A45">
        <w:rPr>
          <w:rStyle w:val="Znakapoznpodarou"/>
          <w:sz w:val="18"/>
          <w:szCs w:val="18"/>
        </w:rPr>
        <w:footnoteRef/>
      </w:r>
      <w:r w:rsidRPr="00EA3A45">
        <w:rPr>
          <w:sz w:val="18"/>
          <w:szCs w:val="18"/>
        </w:rPr>
        <w:t xml:space="preserve"> Viz </w:t>
      </w:r>
      <w:r w:rsidR="00E742D4" w:rsidRPr="00EA3A45">
        <w:rPr>
          <w:sz w:val="18"/>
          <w:szCs w:val="18"/>
        </w:rPr>
        <w:t>kapitola 4.4 Princip „významně nepoškozovat“ výzvy</w:t>
      </w:r>
      <w:r w:rsidRPr="00EA3A45">
        <w:rPr>
          <w:sz w:val="18"/>
          <w:szCs w:val="18"/>
        </w:rPr>
        <w:t>.</w:t>
      </w:r>
    </w:p>
  </w:footnote>
  <w:footnote w:id="17">
    <w:p w14:paraId="05487AC5" w14:textId="1902D182" w:rsidR="00FE5106" w:rsidRPr="00EA3A45" w:rsidRDefault="00FE5106" w:rsidP="00EA3A45">
      <w:pPr>
        <w:pStyle w:val="Textpoznpodarou"/>
        <w:jc w:val="both"/>
        <w:rPr>
          <w:sz w:val="18"/>
          <w:szCs w:val="18"/>
        </w:rPr>
      </w:pPr>
      <w:r w:rsidRPr="00EA3A45">
        <w:rPr>
          <w:rStyle w:val="Znakapoznpodarou"/>
          <w:sz w:val="18"/>
          <w:szCs w:val="18"/>
        </w:rPr>
        <w:footnoteRef/>
      </w:r>
      <w:r w:rsidRPr="00EA3A45">
        <w:rPr>
          <w:sz w:val="18"/>
          <w:szCs w:val="18"/>
        </w:rPr>
        <w:t xml:space="preserve"> </w:t>
      </w:r>
      <w:r w:rsidR="00E742D4" w:rsidRPr="00EA3A45">
        <w:rPr>
          <w:sz w:val="18"/>
          <w:szCs w:val="18"/>
        </w:rPr>
        <w:t>M</w:t>
      </w:r>
      <w:r w:rsidRPr="00EA3A45">
        <w:rPr>
          <w:sz w:val="18"/>
          <w:szCs w:val="18"/>
        </w:rPr>
        <w:t>íněno a posuzováno ve smyslu Oznámení Komise Technické pokyny k uplatňování zásady „významně nepoškozovat“ podle nařízení o Nástroji pro oživení a odolnost, (2021/C 58/01) a dalších aktuálně platných prováděcích dokumentů metodických pokynů RRF a NPO.</w:t>
      </w:r>
    </w:p>
  </w:footnote>
  <w:footnote w:id="18">
    <w:p w14:paraId="4D4FEB83" w14:textId="61AAA9FC" w:rsidR="37D2F4C1" w:rsidRPr="00F7113C" w:rsidRDefault="37D2F4C1" w:rsidP="00F7113C">
      <w:pPr>
        <w:spacing w:after="0"/>
        <w:jc w:val="both"/>
        <w:rPr>
          <w:rFonts w:ascii="Calibri" w:eastAsia="Calibri" w:hAnsi="Calibri" w:cs="Calibri"/>
          <w:color w:val="000000" w:themeColor="text1"/>
          <w:sz w:val="18"/>
          <w:szCs w:val="18"/>
        </w:rPr>
      </w:pPr>
      <w:r w:rsidRPr="37D2F4C1">
        <w:rPr>
          <w:vertAlign w:val="superscript"/>
        </w:rPr>
        <w:footnoteRef/>
      </w:r>
      <w:r>
        <w:t xml:space="preserve"> </w:t>
      </w:r>
      <w:r w:rsidRPr="00F7113C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Veřejnou podporou splňující znaky čl. 107 odst. 1 SFEU se rozumí každá podpora poskytnutá v jakékoli formě státem nebo z veřejných prostředků, která narušuje nebo může narušit hospodářskou soutěž tím, že zvýhodňuje určité podniky nebo určitá odvětví výroby a ovlivňuje obchod mezi členskými státy. Podpora, která splňuje uvedená kritéria, je neslučitelná s vnitřním trhem, a tedy zakázaná. Výjimky z obecného zákazu poskytování veřejné podpory mohou být povoleny na základě přímo použitelného předpisu (např. blokové výjimky, podpora de minimis), či na základě rozhodnutí Komise. </w:t>
      </w:r>
    </w:p>
    <w:p w14:paraId="2E8F7046" w14:textId="53283F67" w:rsidR="37D2F4C1" w:rsidRPr="00F7113C" w:rsidRDefault="37D2F4C1" w:rsidP="00F7113C">
      <w:pPr>
        <w:spacing w:after="0"/>
        <w:jc w:val="both"/>
        <w:rPr>
          <w:rFonts w:eastAsiaTheme="minorEastAsia"/>
          <w:color w:val="000000" w:themeColor="text1"/>
          <w:sz w:val="18"/>
          <w:szCs w:val="18"/>
        </w:rPr>
      </w:pPr>
      <w:r w:rsidRPr="00F7113C">
        <w:rPr>
          <w:rFonts w:ascii="Calibri" w:eastAsia="Calibri" w:hAnsi="Calibri" w:cs="Calibri"/>
          <w:color w:val="000000" w:themeColor="text1"/>
          <w:sz w:val="18"/>
          <w:szCs w:val="18"/>
        </w:rPr>
        <w:t>Dle čl. 207 Sdělení Komise o pojmu státní podpora uvedeném v čl. 107 odst. 1 Smlouvy o fungování Evropské unie (2016/C 262/01): Pokud infrastruktura v případě smíšeného využití slouží téměř výhradně činnosti nehospodářské, má Komise za to, že financování této infrastruktury může stát mimo oblast působnosti pravidel státní podpory v</w:t>
      </w:r>
      <w:r w:rsidR="00F7113C" w:rsidRPr="00F7113C">
        <w:rPr>
          <w:rFonts w:ascii="Calibri" w:eastAsia="Calibri" w:hAnsi="Calibri" w:cs="Calibri"/>
          <w:color w:val="000000" w:themeColor="text1"/>
          <w:sz w:val="18"/>
          <w:szCs w:val="18"/>
        </w:rPr>
        <w:t> </w:t>
      </w:r>
      <w:r w:rsidRPr="00F7113C">
        <w:rPr>
          <w:rFonts w:ascii="Calibri" w:eastAsia="Calibri" w:hAnsi="Calibri" w:cs="Calibri"/>
          <w:color w:val="000000" w:themeColor="text1"/>
          <w:sz w:val="18"/>
          <w:szCs w:val="18"/>
        </w:rPr>
        <w:t>celé jeho úplnosti, pakliže je hospodářské využití infrastruktury pouze vedlejší, tj. pokud se jedná o činnost, která je přímo spojena s provozem infrastruktury a je pro něj nezbytná, nebo o činnost, která je neoddělitelně spojena s hlavním nehospodářským využitím infrastruktury. Je to třeba zohlednit v případě, že hospodářské činnosti spotřebovávají stejné vstupy jako primární činnosti nehospodářské povahy, například materiál, zařízení, pracovní sílu nebo fixní kapitál. Rozsah vedlejších hospodářských činností z hlediska kapacity infrastruktury musí zůstat omezený (tj. do 20 % kapacity).</w:t>
      </w:r>
    </w:p>
    <w:p w14:paraId="58CC453D" w14:textId="31F24C21" w:rsidR="37D2F4C1" w:rsidRDefault="37D2F4C1" w:rsidP="37D2F4C1"/>
    <w:p w14:paraId="6329C8A7" w14:textId="4DC51B1F" w:rsidR="37D2F4C1" w:rsidRDefault="37D2F4C1" w:rsidP="37D2F4C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5E99B" w14:textId="2B44F4CA" w:rsidR="00FE5106" w:rsidRDefault="00FE5106">
    <w:pPr>
      <w:pStyle w:val="Zhlav"/>
    </w:pPr>
    <w:r>
      <w:rPr>
        <w:noProof/>
      </w:rPr>
      <w:drawing>
        <wp:inline distT="0" distB="0" distL="0" distR="0" wp14:anchorId="0F6FA182" wp14:editId="446655E0">
          <wp:extent cx="5381625" cy="82867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30E09"/>
    <w:multiLevelType w:val="multilevel"/>
    <w:tmpl w:val="01182D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E615732"/>
    <w:multiLevelType w:val="hybridMultilevel"/>
    <w:tmpl w:val="FFFFFFFF"/>
    <w:lvl w:ilvl="0" w:tplc="D464C1F4">
      <w:start w:val="1"/>
      <w:numFmt w:val="decimal"/>
      <w:lvlText w:val="%1."/>
      <w:lvlJc w:val="left"/>
      <w:pPr>
        <w:ind w:left="1068" w:hanging="360"/>
      </w:pPr>
    </w:lvl>
    <w:lvl w:ilvl="1" w:tplc="5C2C8EBA">
      <w:start w:val="1"/>
      <w:numFmt w:val="lowerLetter"/>
      <w:lvlText w:val="%2."/>
      <w:lvlJc w:val="left"/>
      <w:pPr>
        <w:ind w:left="1788" w:hanging="360"/>
      </w:pPr>
    </w:lvl>
    <w:lvl w:ilvl="2" w:tplc="EE1AEC76">
      <w:start w:val="1"/>
      <w:numFmt w:val="lowerRoman"/>
      <w:lvlText w:val="%3."/>
      <w:lvlJc w:val="right"/>
      <w:pPr>
        <w:ind w:left="2508" w:hanging="180"/>
      </w:pPr>
    </w:lvl>
    <w:lvl w:ilvl="3" w:tplc="18388DBE">
      <w:start w:val="1"/>
      <w:numFmt w:val="decimal"/>
      <w:lvlText w:val="%4."/>
      <w:lvlJc w:val="left"/>
      <w:pPr>
        <w:ind w:left="3228" w:hanging="360"/>
      </w:pPr>
    </w:lvl>
    <w:lvl w:ilvl="4" w:tplc="5656AA20">
      <w:start w:val="1"/>
      <w:numFmt w:val="lowerLetter"/>
      <w:lvlText w:val="%5."/>
      <w:lvlJc w:val="left"/>
      <w:pPr>
        <w:ind w:left="3948" w:hanging="360"/>
      </w:pPr>
    </w:lvl>
    <w:lvl w:ilvl="5" w:tplc="1130A5B6">
      <w:start w:val="1"/>
      <w:numFmt w:val="lowerRoman"/>
      <w:lvlText w:val="%6."/>
      <w:lvlJc w:val="right"/>
      <w:pPr>
        <w:ind w:left="4668" w:hanging="180"/>
      </w:pPr>
    </w:lvl>
    <w:lvl w:ilvl="6" w:tplc="E890A05E">
      <w:start w:val="1"/>
      <w:numFmt w:val="decimal"/>
      <w:lvlText w:val="%7."/>
      <w:lvlJc w:val="left"/>
      <w:pPr>
        <w:ind w:left="5388" w:hanging="360"/>
      </w:pPr>
    </w:lvl>
    <w:lvl w:ilvl="7" w:tplc="A81E2AD0">
      <w:start w:val="1"/>
      <w:numFmt w:val="lowerLetter"/>
      <w:lvlText w:val="%8."/>
      <w:lvlJc w:val="left"/>
      <w:pPr>
        <w:ind w:left="6108" w:hanging="360"/>
      </w:pPr>
    </w:lvl>
    <w:lvl w:ilvl="8" w:tplc="E4227E4E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6364F85"/>
    <w:multiLevelType w:val="hybridMultilevel"/>
    <w:tmpl w:val="62AA7F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4716C"/>
    <w:multiLevelType w:val="hybridMultilevel"/>
    <w:tmpl w:val="025010CA"/>
    <w:lvl w:ilvl="0" w:tplc="07E4F27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449CF"/>
    <w:multiLevelType w:val="hybridMultilevel"/>
    <w:tmpl w:val="869C6DE0"/>
    <w:lvl w:ilvl="0" w:tplc="07E4F27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F173D5"/>
    <w:multiLevelType w:val="hybridMultilevel"/>
    <w:tmpl w:val="218200AA"/>
    <w:lvl w:ilvl="0" w:tplc="07E4F27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32D04"/>
    <w:multiLevelType w:val="hybridMultilevel"/>
    <w:tmpl w:val="5AF620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070CB5"/>
    <w:multiLevelType w:val="hybridMultilevel"/>
    <w:tmpl w:val="FFFFFFFF"/>
    <w:lvl w:ilvl="0" w:tplc="579203CC">
      <w:start w:val="9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EEF018BC">
      <w:start w:val="1"/>
      <w:numFmt w:val="lowerLetter"/>
      <w:lvlText w:val="%2."/>
      <w:lvlJc w:val="left"/>
      <w:pPr>
        <w:ind w:left="1440" w:hanging="360"/>
      </w:pPr>
    </w:lvl>
    <w:lvl w:ilvl="2" w:tplc="6A5A8C64">
      <w:start w:val="1"/>
      <w:numFmt w:val="lowerRoman"/>
      <w:lvlText w:val="%3."/>
      <w:lvlJc w:val="right"/>
      <w:pPr>
        <w:ind w:left="2160" w:hanging="180"/>
      </w:pPr>
    </w:lvl>
    <w:lvl w:ilvl="3" w:tplc="391A2A2E">
      <w:start w:val="1"/>
      <w:numFmt w:val="decimal"/>
      <w:lvlText w:val="%4."/>
      <w:lvlJc w:val="left"/>
      <w:pPr>
        <w:ind w:left="2880" w:hanging="360"/>
      </w:pPr>
    </w:lvl>
    <w:lvl w:ilvl="4" w:tplc="9348C0E0">
      <w:start w:val="1"/>
      <w:numFmt w:val="lowerLetter"/>
      <w:lvlText w:val="%5."/>
      <w:lvlJc w:val="left"/>
      <w:pPr>
        <w:ind w:left="3600" w:hanging="360"/>
      </w:pPr>
    </w:lvl>
    <w:lvl w:ilvl="5" w:tplc="E41A6388">
      <w:start w:val="1"/>
      <w:numFmt w:val="lowerRoman"/>
      <w:lvlText w:val="%6."/>
      <w:lvlJc w:val="right"/>
      <w:pPr>
        <w:ind w:left="4320" w:hanging="180"/>
      </w:pPr>
    </w:lvl>
    <w:lvl w:ilvl="6" w:tplc="BCC8CCEA">
      <w:start w:val="1"/>
      <w:numFmt w:val="decimal"/>
      <w:lvlText w:val="%7."/>
      <w:lvlJc w:val="left"/>
      <w:pPr>
        <w:ind w:left="5040" w:hanging="360"/>
      </w:pPr>
    </w:lvl>
    <w:lvl w:ilvl="7" w:tplc="BEBCBD8A">
      <w:start w:val="1"/>
      <w:numFmt w:val="lowerLetter"/>
      <w:lvlText w:val="%8."/>
      <w:lvlJc w:val="left"/>
      <w:pPr>
        <w:ind w:left="5760" w:hanging="360"/>
      </w:pPr>
    </w:lvl>
    <w:lvl w:ilvl="8" w:tplc="FE58FC5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1B5FC5"/>
    <w:multiLevelType w:val="multilevel"/>
    <w:tmpl w:val="0405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9" w15:restartNumberingAfterBreak="0">
    <w:nsid w:val="39275BD4"/>
    <w:multiLevelType w:val="multilevel"/>
    <w:tmpl w:val="FFFFFFF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788" w:hanging="360"/>
      </w:pPr>
    </w:lvl>
    <w:lvl w:ilvl="2">
      <w:start w:val="1"/>
      <w:numFmt w:val="decimal"/>
      <w:lvlText w:val="%1.%2.%3."/>
      <w:lvlJc w:val="lef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decimal"/>
      <w:lvlText w:val="%1.%2.%3.%4.%5."/>
      <w:lvlJc w:val="left"/>
      <w:pPr>
        <w:ind w:left="3948" w:hanging="360"/>
      </w:pPr>
    </w:lvl>
    <w:lvl w:ilvl="5">
      <w:start w:val="1"/>
      <w:numFmt w:val="decimal"/>
      <w:lvlText w:val="%1.%2.%3.%4.%5.%6."/>
      <w:lvlJc w:val="lef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decimal"/>
      <w:lvlText w:val="%1.%2.%3.%4.%5.%6.%7.%8."/>
      <w:lvlJc w:val="left"/>
      <w:pPr>
        <w:ind w:left="6108" w:hanging="360"/>
      </w:pPr>
    </w:lvl>
    <w:lvl w:ilvl="8">
      <w:start w:val="1"/>
      <w:numFmt w:val="decimal"/>
      <w:lvlText w:val="%1.%2.%3.%4.%5.%6.%7.%8.%9."/>
      <w:lvlJc w:val="left"/>
      <w:pPr>
        <w:ind w:left="6828" w:hanging="180"/>
      </w:pPr>
    </w:lvl>
  </w:abstractNum>
  <w:abstractNum w:abstractNumId="10" w15:restartNumberingAfterBreak="0">
    <w:nsid w:val="3C8164BE"/>
    <w:multiLevelType w:val="hybridMultilevel"/>
    <w:tmpl w:val="86D071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9A7595"/>
    <w:multiLevelType w:val="hybridMultilevel"/>
    <w:tmpl w:val="5D4C91C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E278FD"/>
    <w:multiLevelType w:val="hybridMultilevel"/>
    <w:tmpl w:val="FFFFFFFF"/>
    <w:lvl w:ilvl="0" w:tplc="9E407AF6">
      <w:start w:val="1"/>
      <w:numFmt w:val="decimal"/>
      <w:lvlText w:val="%1.."/>
      <w:lvlJc w:val="left"/>
      <w:pPr>
        <w:ind w:left="720" w:hanging="360"/>
      </w:pPr>
    </w:lvl>
    <w:lvl w:ilvl="1" w:tplc="A0904EF0">
      <w:start w:val="1"/>
      <w:numFmt w:val="lowerLetter"/>
      <w:lvlText w:val="%2."/>
      <w:lvlJc w:val="left"/>
      <w:pPr>
        <w:ind w:left="1440" w:hanging="360"/>
      </w:pPr>
    </w:lvl>
    <w:lvl w:ilvl="2" w:tplc="D3AC23EA">
      <w:start w:val="1"/>
      <w:numFmt w:val="lowerRoman"/>
      <w:lvlText w:val="%3."/>
      <w:lvlJc w:val="right"/>
      <w:pPr>
        <w:ind w:left="2160" w:hanging="180"/>
      </w:pPr>
    </w:lvl>
    <w:lvl w:ilvl="3" w:tplc="3E2EEB68">
      <w:start w:val="1"/>
      <w:numFmt w:val="decimal"/>
      <w:lvlText w:val="%4."/>
      <w:lvlJc w:val="left"/>
      <w:pPr>
        <w:ind w:left="2880" w:hanging="360"/>
      </w:pPr>
    </w:lvl>
    <w:lvl w:ilvl="4" w:tplc="AB2AD40C">
      <w:start w:val="1"/>
      <w:numFmt w:val="lowerLetter"/>
      <w:lvlText w:val="%5."/>
      <w:lvlJc w:val="left"/>
      <w:pPr>
        <w:ind w:left="3600" w:hanging="360"/>
      </w:pPr>
    </w:lvl>
    <w:lvl w:ilvl="5" w:tplc="51CA4718">
      <w:start w:val="1"/>
      <w:numFmt w:val="lowerRoman"/>
      <w:lvlText w:val="%6."/>
      <w:lvlJc w:val="right"/>
      <w:pPr>
        <w:ind w:left="4320" w:hanging="180"/>
      </w:pPr>
    </w:lvl>
    <w:lvl w:ilvl="6" w:tplc="C4FC8126">
      <w:start w:val="1"/>
      <w:numFmt w:val="decimal"/>
      <w:lvlText w:val="%7."/>
      <w:lvlJc w:val="left"/>
      <w:pPr>
        <w:ind w:left="5040" w:hanging="360"/>
      </w:pPr>
    </w:lvl>
    <w:lvl w:ilvl="7" w:tplc="36DAAE36">
      <w:start w:val="1"/>
      <w:numFmt w:val="lowerLetter"/>
      <w:lvlText w:val="%8."/>
      <w:lvlJc w:val="left"/>
      <w:pPr>
        <w:ind w:left="5760" w:hanging="360"/>
      </w:pPr>
    </w:lvl>
    <w:lvl w:ilvl="8" w:tplc="F9EA10A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326E1"/>
    <w:multiLevelType w:val="hybridMultilevel"/>
    <w:tmpl w:val="FFFFFFFF"/>
    <w:lvl w:ilvl="0" w:tplc="A1FA9472">
      <w:start w:val="1"/>
      <w:numFmt w:val="decimal"/>
      <w:lvlText w:val="%1."/>
      <w:lvlJc w:val="left"/>
      <w:pPr>
        <w:ind w:left="720" w:hanging="360"/>
      </w:pPr>
    </w:lvl>
    <w:lvl w:ilvl="1" w:tplc="854A1262">
      <w:start w:val="1"/>
      <w:numFmt w:val="lowerLetter"/>
      <w:lvlText w:val="%2."/>
      <w:lvlJc w:val="left"/>
      <w:pPr>
        <w:ind w:left="1440" w:hanging="360"/>
      </w:pPr>
    </w:lvl>
    <w:lvl w:ilvl="2" w:tplc="A8788500">
      <w:start w:val="1"/>
      <w:numFmt w:val="lowerRoman"/>
      <w:lvlText w:val="%3."/>
      <w:lvlJc w:val="right"/>
      <w:pPr>
        <w:ind w:left="2160" w:hanging="180"/>
      </w:pPr>
    </w:lvl>
    <w:lvl w:ilvl="3" w:tplc="BDB44CC4">
      <w:start w:val="1"/>
      <w:numFmt w:val="decimal"/>
      <w:lvlText w:val="%4."/>
      <w:lvlJc w:val="left"/>
      <w:pPr>
        <w:ind w:left="2880" w:hanging="360"/>
      </w:pPr>
    </w:lvl>
    <w:lvl w:ilvl="4" w:tplc="62782D02">
      <w:start w:val="1"/>
      <w:numFmt w:val="lowerLetter"/>
      <w:lvlText w:val="%5."/>
      <w:lvlJc w:val="left"/>
      <w:pPr>
        <w:ind w:left="3600" w:hanging="360"/>
      </w:pPr>
    </w:lvl>
    <w:lvl w:ilvl="5" w:tplc="31001262">
      <w:start w:val="1"/>
      <w:numFmt w:val="lowerRoman"/>
      <w:lvlText w:val="%6."/>
      <w:lvlJc w:val="right"/>
      <w:pPr>
        <w:ind w:left="4320" w:hanging="180"/>
      </w:pPr>
    </w:lvl>
    <w:lvl w:ilvl="6" w:tplc="9D3446C8">
      <w:start w:val="1"/>
      <w:numFmt w:val="decimal"/>
      <w:lvlText w:val="%7."/>
      <w:lvlJc w:val="left"/>
      <w:pPr>
        <w:ind w:left="5040" w:hanging="360"/>
      </w:pPr>
    </w:lvl>
    <w:lvl w:ilvl="7" w:tplc="E39C5E48">
      <w:start w:val="1"/>
      <w:numFmt w:val="lowerLetter"/>
      <w:lvlText w:val="%8."/>
      <w:lvlJc w:val="left"/>
      <w:pPr>
        <w:ind w:left="5760" w:hanging="360"/>
      </w:pPr>
    </w:lvl>
    <w:lvl w:ilvl="8" w:tplc="430C7310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142A6E"/>
    <w:multiLevelType w:val="hybridMultilevel"/>
    <w:tmpl w:val="10A4DB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A73E58"/>
    <w:multiLevelType w:val="hybridMultilevel"/>
    <w:tmpl w:val="165E5F68"/>
    <w:lvl w:ilvl="0" w:tplc="9EEEAB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908B7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D77873"/>
    <w:multiLevelType w:val="hybridMultilevel"/>
    <w:tmpl w:val="65E453BA"/>
    <w:lvl w:ilvl="0" w:tplc="4C0CFD3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8212E5E"/>
    <w:multiLevelType w:val="hybridMultilevel"/>
    <w:tmpl w:val="04B27C0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115481"/>
    <w:multiLevelType w:val="hybridMultilevel"/>
    <w:tmpl w:val="2A149ED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E83F59"/>
    <w:multiLevelType w:val="multilevel"/>
    <w:tmpl w:val="15B070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pacing w:val="20"/>
        <w:sz w:val="36"/>
        <w:szCs w:val="3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  <w:sz w:val="28"/>
        <w:szCs w:val="28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C414927"/>
    <w:multiLevelType w:val="hybridMultilevel"/>
    <w:tmpl w:val="336AEE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E4F276">
      <w:start w:val="2"/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6C3C2F"/>
    <w:multiLevelType w:val="hybridMultilevel"/>
    <w:tmpl w:val="54EA0754"/>
    <w:lvl w:ilvl="0" w:tplc="7B18DB3E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D0B5F16"/>
    <w:multiLevelType w:val="hybridMultilevel"/>
    <w:tmpl w:val="FFFFFFFF"/>
    <w:lvl w:ilvl="0" w:tplc="4B3808EA">
      <w:start w:val="1"/>
      <w:numFmt w:val="decimal"/>
      <w:lvlText w:val="%1."/>
      <w:lvlJc w:val="left"/>
      <w:pPr>
        <w:ind w:left="720" w:hanging="360"/>
      </w:pPr>
    </w:lvl>
    <w:lvl w:ilvl="1" w:tplc="5C8E2870">
      <w:start w:val="1"/>
      <w:numFmt w:val="lowerLetter"/>
      <w:lvlText w:val="%2."/>
      <w:lvlJc w:val="left"/>
      <w:pPr>
        <w:ind w:left="1440" w:hanging="360"/>
      </w:pPr>
    </w:lvl>
    <w:lvl w:ilvl="2" w:tplc="B3C65E84">
      <w:start w:val="1"/>
      <w:numFmt w:val="lowerRoman"/>
      <w:lvlText w:val="%3."/>
      <w:lvlJc w:val="right"/>
      <w:pPr>
        <w:ind w:left="2160" w:hanging="180"/>
      </w:pPr>
    </w:lvl>
    <w:lvl w:ilvl="3" w:tplc="6C14D8EE">
      <w:start w:val="1"/>
      <w:numFmt w:val="decimal"/>
      <w:lvlText w:val="%4."/>
      <w:lvlJc w:val="left"/>
      <w:pPr>
        <w:ind w:left="2880" w:hanging="360"/>
      </w:pPr>
    </w:lvl>
    <w:lvl w:ilvl="4" w:tplc="BEC4F31E">
      <w:start w:val="1"/>
      <w:numFmt w:val="lowerLetter"/>
      <w:lvlText w:val="%5."/>
      <w:lvlJc w:val="left"/>
      <w:pPr>
        <w:ind w:left="3600" w:hanging="360"/>
      </w:pPr>
    </w:lvl>
    <w:lvl w:ilvl="5" w:tplc="8F0EAB16">
      <w:start w:val="1"/>
      <w:numFmt w:val="lowerRoman"/>
      <w:lvlText w:val="%6."/>
      <w:lvlJc w:val="right"/>
      <w:pPr>
        <w:ind w:left="4320" w:hanging="180"/>
      </w:pPr>
    </w:lvl>
    <w:lvl w:ilvl="6" w:tplc="D8304D92">
      <w:start w:val="1"/>
      <w:numFmt w:val="decimal"/>
      <w:lvlText w:val="%7."/>
      <w:lvlJc w:val="left"/>
      <w:pPr>
        <w:ind w:left="5040" w:hanging="360"/>
      </w:pPr>
    </w:lvl>
    <w:lvl w:ilvl="7" w:tplc="60341266">
      <w:start w:val="1"/>
      <w:numFmt w:val="lowerLetter"/>
      <w:lvlText w:val="%8."/>
      <w:lvlJc w:val="left"/>
      <w:pPr>
        <w:ind w:left="5760" w:hanging="360"/>
      </w:pPr>
    </w:lvl>
    <w:lvl w:ilvl="8" w:tplc="42CC0EAE">
      <w:start w:val="1"/>
      <w:numFmt w:val="lowerRoman"/>
      <w:lvlText w:val="%9."/>
      <w:lvlJc w:val="right"/>
      <w:pPr>
        <w:ind w:left="6480" w:hanging="180"/>
      </w:pPr>
    </w:lvl>
  </w:abstractNum>
  <w:num w:numId="1" w16cid:durableId="1529097885">
    <w:abstractNumId w:val="7"/>
  </w:num>
  <w:num w:numId="2" w16cid:durableId="653415187">
    <w:abstractNumId w:val="13"/>
  </w:num>
  <w:num w:numId="3" w16cid:durableId="1663506189">
    <w:abstractNumId w:val="22"/>
  </w:num>
  <w:num w:numId="4" w16cid:durableId="570042801">
    <w:abstractNumId w:val="9"/>
  </w:num>
  <w:num w:numId="5" w16cid:durableId="1130366818">
    <w:abstractNumId w:val="1"/>
  </w:num>
  <w:num w:numId="6" w16cid:durableId="1816214354">
    <w:abstractNumId w:val="12"/>
  </w:num>
  <w:num w:numId="7" w16cid:durableId="2001078341">
    <w:abstractNumId w:val="15"/>
  </w:num>
  <w:num w:numId="8" w16cid:durableId="1796437991">
    <w:abstractNumId w:val="6"/>
  </w:num>
  <w:num w:numId="9" w16cid:durableId="1110510632">
    <w:abstractNumId w:val="10"/>
  </w:num>
  <w:num w:numId="10" w16cid:durableId="138428323">
    <w:abstractNumId w:val="5"/>
  </w:num>
  <w:num w:numId="11" w16cid:durableId="637034623">
    <w:abstractNumId w:val="16"/>
  </w:num>
  <w:num w:numId="12" w16cid:durableId="200173212">
    <w:abstractNumId w:val="2"/>
  </w:num>
  <w:num w:numId="13" w16cid:durableId="81417094">
    <w:abstractNumId w:val="19"/>
  </w:num>
  <w:num w:numId="14" w16cid:durableId="1855531755">
    <w:abstractNumId w:val="17"/>
  </w:num>
  <w:num w:numId="15" w16cid:durableId="670327547">
    <w:abstractNumId w:val="18"/>
  </w:num>
  <w:num w:numId="16" w16cid:durableId="739792397">
    <w:abstractNumId w:val="0"/>
  </w:num>
  <w:num w:numId="17" w16cid:durableId="955793988">
    <w:abstractNumId w:val="21"/>
  </w:num>
  <w:num w:numId="18" w16cid:durableId="1154760134">
    <w:abstractNumId w:val="20"/>
  </w:num>
  <w:num w:numId="19" w16cid:durableId="1139689971">
    <w:abstractNumId w:val="4"/>
  </w:num>
  <w:num w:numId="20" w16cid:durableId="2122797670">
    <w:abstractNumId w:val="3"/>
  </w:num>
  <w:num w:numId="21" w16cid:durableId="2075810885">
    <w:abstractNumId w:val="11"/>
  </w:num>
  <w:num w:numId="22" w16cid:durableId="303395516">
    <w:abstractNumId w:val="8"/>
  </w:num>
  <w:num w:numId="23" w16cid:durableId="186813439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D5B"/>
    <w:rsid w:val="00010D3C"/>
    <w:rsid w:val="00024D5B"/>
    <w:rsid w:val="00026D6A"/>
    <w:rsid w:val="00084944"/>
    <w:rsid w:val="000D5D0A"/>
    <w:rsid w:val="000E1261"/>
    <w:rsid w:val="000E6CD7"/>
    <w:rsid w:val="0010055C"/>
    <w:rsid w:val="00114DDE"/>
    <w:rsid w:val="00116E9C"/>
    <w:rsid w:val="0014102E"/>
    <w:rsid w:val="001C760D"/>
    <w:rsid w:val="00244A49"/>
    <w:rsid w:val="00261111"/>
    <w:rsid w:val="00280364"/>
    <w:rsid w:val="00287ECE"/>
    <w:rsid w:val="002964CD"/>
    <w:rsid w:val="002A3CCC"/>
    <w:rsid w:val="002A7C45"/>
    <w:rsid w:val="002A7D43"/>
    <w:rsid w:val="0030540B"/>
    <w:rsid w:val="0033030E"/>
    <w:rsid w:val="00334C62"/>
    <w:rsid w:val="00393A81"/>
    <w:rsid w:val="003B2C67"/>
    <w:rsid w:val="003E2A66"/>
    <w:rsid w:val="003E518D"/>
    <w:rsid w:val="003E6E1B"/>
    <w:rsid w:val="0040584E"/>
    <w:rsid w:val="004367CF"/>
    <w:rsid w:val="00451AA1"/>
    <w:rsid w:val="004E1777"/>
    <w:rsid w:val="00504E4D"/>
    <w:rsid w:val="00505927"/>
    <w:rsid w:val="00506B6B"/>
    <w:rsid w:val="00574531"/>
    <w:rsid w:val="00575C3B"/>
    <w:rsid w:val="00587BF8"/>
    <w:rsid w:val="005B14E5"/>
    <w:rsid w:val="005F1A5B"/>
    <w:rsid w:val="005F5997"/>
    <w:rsid w:val="006034AA"/>
    <w:rsid w:val="0061258C"/>
    <w:rsid w:val="00613E30"/>
    <w:rsid w:val="00615103"/>
    <w:rsid w:val="006670C3"/>
    <w:rsid w:val="006A5683"/>
    <w:rsid w:val="006B0369"/>
    <w:rsid w:val="006B3687"/>
    <w:rsid w:val="00723C8B"/>
    <w:rsid w:val="00731C62"/>
    <w:rsid w:val="007646A2"/>
    <w:rsid w:val="00882E27"/>
    <w:rsid w:val="008910E1"/>
    <w:rsid w:val="008B00F8"/>
    <w:rsid w:val="008F6F02"/>
    <w:rsid w:val="009074E6"/>
    <w:rsid w:val="00A33D2C"/>
    <w:rsid w:val="00A42DE4"/>
    <w:rsid w:val="00AC7C60"/>
    <w:rsid w:val="00AF6A2E"/>
    <w:rsid w:val="00B22886"/>
    <w:rsid w:val="00B25B2E"/>
    <w:rsid w:val="00B84AAC"/>
    <w:rsid w:val="00B87BAA"/>
    <w:rsid w:val="00BA2C75"/>
    <w:rsid w:val="00BB4918"/>
    <w:rsid w:val="00BD2875"/>
    <w:rsid w:val="00D26E5B"/>
    <w:rsid w:val="00D5010B"/>
    <w:rsid w:val="00D57590"/>
    <w:rsid w:val="00DC6F6F"/>
    <w:rsid w:val="00DE36CE"/>
    <w:rsid w:val="00E65954"/>
    <w:rsid w:val="00E742D4"/>
    <w:rsid w:val="00EA3A45"/>
    <w:rsid w:val="00EB1518"/>
    <w:rsid w:val="00ED6C41"/>
    <w:rsid w:val="00EF3743"/>
    <w:rsid w:val="00F17502"/>
    <w:rsid w:val="00F272B9"/>
    <w:rsid w:val="00F52A24"/>
    <w:rsid w:val="00F7113C"/>
    <w:rsid w:val="00F734B4"/>
    <w:rsid w:val="00F807F6"/>
    <w:rsid w:val="00FC044F"/>
    <w:rsid w:val="00FC7FAF"/>
    <w:rsid w:val="00FE5106"/>
    <w:rsid w:val="00FF0D6D"/>
    <w:rsid w:val="015692A8"/>
    <w:rsid w:val="036A5AFA"/>
    <w:rsid w:val="03775B6B"/>
    <w:rsid w:val="03890854"/>
    <w:rsid w:val="03F4C937"/>
    <w:rsid w:val="051C3CAF"/>
    <w:rsid w:val="05D04ABA"/>
    <w:rsid w:val="06AA307F"/>
    <w:rsid w:val="0E244505"/>
    <w:rsid w:val="106382DD"/>
    <w:rsid w:val="107EE0E1"/>
    <w:rsid w:val="111451B7"/>
    <w:rsid w:val="11A88A00"/>
    <w:rsid w:val="11DB0C90"/>
    <w:rsid w:val="12F7397E"/>
    <w:rsid w:val="13136D9C"/>
    <w:rsid w:val="160AB532"/>
    <w:rsid w:val="1624FF14"/>
    <w:rsid w:val="162EDA40"/>
    <w:rsid w:val="16B34DA8"/>
    <w:rsid w:val="16B3F1EA"/>
    <w:rsid w:val="1743EE89"/>
    <w:rsid w:val="1763489C"/>
    <w:rsid w:val="194D52A5"/>
    <w:rsid w:val="19B2581C"/>
    <w:rsid w:val="1A1AC1D3"/>
    <w:rsid w:val="1A2548AC"/>
    <w:rsid w:val="1A55BF9E"/>
    <w:rsid w:val="1ABF436C"/>
    <w:rsid w:val="1B6C9D22"/>
    <w:rsid w:val="1C84F367"/>
    <w:rsid w:val="1E85C93F"/>
    <w:rsid w:val="1FE91236"/>
    <w:rsid w:val="202199A0"/>
    <w:rsid w:val="20A5F1E3"/>
    <w:rsid w:val="218A2864"/>
    <w:rsid w:val="22013200"/>
    <w:rsid w:val="2234DD8B"/>
    <w:rsid w:val="2325F8C5"/>
    <w:rsid w:val="25242990"/>
    <w:rsid w:val="252E3889"/>
    <w:rsid w:val="278D36F3"/>
    <w:rsid w:val="2A103490"/>
    <w:rsid w:val="2AE8E63C"/>
    <w:rsid w:val="2B424581"/>
    <w:rsid w:val="2C1295AC"/>
    <w:rsid w:val="2C14731C"/>
    <w:rsid w:val="2C7515AE"/>
    <w:rsid w:val="2DD1415D"/>
    <w:rsid w:val="2ED2D7AC"/>
    <w:rsid w:val="2F47B91D"/>
    <w:rsid w:val="30AD5289"/>
    <w:rsid w:val="31DB7B51"/>
    <w:rsid w:val="31F4CFE8"/>
    <w:rsid w:val="32B65C96"/>
    <w:rsid w:val="32EEB2D2"/>
    <w:rsid w:val="3613C4F8"/>
    <w:rsid w:val="3637C70F"/>
    <w:rsid w:val="37D2F4C1"/>
    <w:rsid w:val="393A7059"/>
    <w:rsid w:val="3BCA03AD"/>
    <w:rsid w:val="3CD1C3FE"/>
    <w:rsid w:val="3D31F885"/>
    <w:rsid w:val="3DBD996B"/>
    <w:rsid w:val="3F26DCA4"/>
    <w:rsid w:val="3FCD2F3D"/>
    <w:rsid w:val="40C2AD05"/>
    <w:rsid w:val="43D51592"/>
    <w:rsid w:val="44851086"/>
    <w:rsid w:val="45136B8A"/>
    <w:rsid w:val="453CD58F"/>
    <w:rsid w:val="453EAACD"/>
    <w:rsid w:val="4557BD96"/>
    <w:rsid w:val="463C70C1"/>
    <w:rsid w:val="46AA3652"/>
    <w:rsid w:val="48549263"/>
    <w:rsid w:val="4868E203"/>
    <w:rsid w:val="4982646D"/>
    <w:rsid w:val="4DBA94D8"/>
    <w:rsid w:val="4F668923"/>
    <w:rsid w:val="4F6A1A96"/>
    <w:rsid w:val="5134055B"/>
    <w:rsid w:val="53686423"/>
    <w:rsid w:val="53F74934"/>
    <w:rsid w:val="546BA61D"/>
    <w:rsid w:val="570FB379"/>
    <w:rsid w:val="573CBE4D"/>
    <w:rsid w:val="57A346DF"/>
    <w:rsid w:val="59053505"/>
    <w:rsid w:val="593F1740"/>
    <w:rsid w:val="5953149E"/>
    <w:rsid w:val="5B351576"/>
    <w:rsid w:val="5EB283E0"/>
    <w:rsid w:val="5EBA406D"/>
    <w:rsid w:val="602DBECE"/>
    <w:rsid w:val="61840C5B"/>
    <w:rsid w:val="61D24603"/>
    <w:rsid w:val="63655F90"/>
    <w:rsid w:val="6447E7AC"/>
    <w:rsid w:val="648316CF"/>
    <w:rsid w:val="65D658D9"/>
    <w:rsid w:val="6691D7C0"/>
    <w:rsid w:val="66A5B726"/>
    <w:rsid w:val="67623B93"/>
    <w:rsid w:val="6A9E00D3"/>
    <w:rsid w:val="6C1767F6"/>
    <w:rsid w:val="6DC44158"/>
    <w:rsid w:val="6EDC7CCF"/>
    <w:rsid w:val="704BD01E"/>
    <w:rsid w:val="706534E9"/>
    <w:rsid w:val="70F222B7"/>
    <w:rsid w:val="71E7A07F"/>
    <w:rsid w:val="74202A48"/>
    <w:rsid w:val="77557550"/>
    <w:rsid w:val="79B451D2"/>
    <w:rsid w:val="7BB92267"/>
    <w:rsid w:val="7BD438C1"/>
    <w:rsid w:val="7D11C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164AA"/>
  <w15:chartTrackingRefBased/>
  <w15:docId w15:val="{24D2740E-6D75-4A2C-8C98-FF60C7ADF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Nad"/>
    <w:basedOn w:val="Normln"/>
    <w:link w:val="OdstavecseseznamemChar"/>
    <w:uiPriority w:val="34"/>
    <w:qFormat/>
    <w:rsid w:val="00FE5106"/>
    <w:pPr>
      <w:spacing w:after="200" w:line="276" w:lineRule="auto"/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FE510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E5106"/>
    <w:pPr>
      <w:spacing w:after="200"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E5106"/>
    <w:rPr>
      <w:sz w:val="20"/>
      <w:szCs w:val="20"/>
    </w:rPr>
  </w:style>
  <w:style w:type="character" w:styleId="Znakapoznpodarou">
    <w:name w:val="footnote reference"/>
    <w:aliases w:val="EN Footnote Reference,PGI Fußnote Ziffer + Times New Roman,12 b.,Zúžené o ...,PGI Fußnote Ziffer"/>
    <w:uiPriority w:val="99"/>
    <w:rsid w:val="00FE5106"/>
    <w:rPr>
      <w:vertAlign w:val="superscript"/>
    </w:rPr>
  </w:style>
  <w:style w:type="paragraph" w:styleId="Textpoznpodarou">
    <w:name w:val="footnote text"/>
    <w:aliases w:val="Footnote,Text poznámky pod čiarou 007,Schriftart: 9 pt,Schriftart: 10 pt,Schriftart: 8 pt,Fußnotentextf,Geneva 9,Font: Geneva 9,Boston 10,f,Text pozn. pod čarou Char2,Text pozn. pod čarou Char Char,Text pozn. pod čarou Char1 Char"/>
    <w:basedOn w:val="Normln"/>
    <w:link w:val="TextpoznpodarouChar"/>
    <w:uiPriority w:val="99"/>
    <w:unhideWhenUsed/>
    <w:rsid w:val="00FE510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Footnote Char,Text poznámky pod čiarou 007 Char,Schriftart: 9 pt Char,Schriftart: 10 pt Char,Schriftart: 8 pt Char,Fußnotentextf Char,Geneva 9 Char,Font: Geneva 9 Char,Boston 10 Char,f Char,Text pozn. pod čarou Char2 Char"/>
    <w:basedOn w:val="Standardnpsmoodstavce"/>
    <w:link w:val="Textpoznpodarou"/>
    <w:uiPriority w:val="99"/>
    <w:rsid w:val="00FE5106"/>
    <w:rPr>
      <w:sz w:val="20"/>
      <w:szCs w:val="20"/>
    </w:rPr>
  </w:style>
  <w:style w:type="character" w:customStyle="1" w:styleId="OdstavecseseznamemChar">
    <w:name w:val="Odstavec se seznamem Char"/>
    <w:aliases w:val="List Paragraph compact Char,Normal bullet 2 Char,Paragraphe de liste 2 Char,Reference list Char,Bullet list Char,Numbered List Char,List Paragraph1 Char,1st level - Bullet List Paragraph Char,Lettre d'introduction Char,Nad Char"/>
    <w:link w:val="Odstavecseseznamem"/>
    <w:uiPriority w:val="34"/>
    <w:qFormat/>
    <w:rsid w:val="00FE5106"/>
  </w:style>
  <w:style w:type="paragraph" w:styleId="Textbubliny">
    <w:name w:val="Balloon Text"/>
    <w:basedOn w:val="Normln"/>
    <w:link w:val="TextbublinyChar"/>
    <w:uiPriority w:val="99"/>
    <w:semiHidden/>
    <w:unhideWhenUsed/>
    <w:rsid w:val="00FE5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510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FE51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E5106"/>
  </w:style>
  <w:style w:type="paragraph" w:styleId="Zpat">
    <w:name w:val="footer"/>
    <w:basedOn w:val="Normln"/>
    <w:link w:val="ZpatChar"/>
    <w:uiPriority w:val="99"/>
    <w:unhideWhenUsed/>
    <w:rsid w:val="00FE51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E5106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B14E5"/>
    <w:pPr>
      <w:spacing w:after="160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B14E5"/>
    <w:rPr>
      <w:b/>
      <w:bCs/>
      <w:sz w:val="20"/>
      <w:szCs w:val="20"/>
    </w:rPr>
  </w:style>
  <w:style w:type="paragraph" w:customStyle="1" w:styleId="Default">
    <w:name w:val="Default"/>
    <w:rsid w:val="006670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6670C3"/>
    <w:rPr>
      <w:color w:val="auto"/>
    </w:rPr>
  </w:style>
  <w:style w:type="paragraph" w:customStyle="1" w:styleId="CM3">
    <w:name w:val="CM3"/>
    <w:basedOn w:val="Default"/>
    <w:next w:val="Default"/>
    <w:uiPriority w:val="99"/>
    <w:rsid w:val="006670C3"/>
    <w:rPr>
      <w:color w:val="auto"/>
    </w:rPr>
  </w:style>
  <w:style w:type="paragraph" w:styleId="Revize">
    <w:name w:val="Revision"/>
    <w:hidden/>
    <w:uiPriority w:val="99"/>
    <w:semiHidden/>
    <w:rsid w:val="0040584E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E659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82E4340BBC544FBE113C0AFEB155D7" ma:contentTypeVersion="4" ma:contentTypeDescription="Vytvoří nový dokument" ma:contentTypeScope="" ma:versionID="cd27d3d0892adfa2278c3d5a1e93b6de">
  <xsd:schema xmlns:xsd="http://www.w3.org/2001/XMLSchema" xmlns:xs="http://www.w3.org/2001/XMLSchema" xmlns:p="http://schemas.microsoft.com/office/2006/metadata/properties" xmlns:ns2="2a04ea54-bb9a-487e-a256-d398fdd70f50" targetNamespace="http://schemas.microsoft.com/office/2006/metadata/properties" ma:root="true" ma:fieldsID="51ffcc811829aa4469f09e66c0d83eb1" ns2:_="">
    <xsd:import namespace="2a04ea54-bb9a-487e-a256-d398fdd70f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04ea54-bb9a-487e-a256-d398fdd70f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97FB06-9D81-4DF5-B634-3FA75528A2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8E45C47-4972-4645-981A-9B0E131D31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B69111-9376-4798-BCF9-15A8F84FCFB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2077794-04F2-41BB-94BC-A1799A58BB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04ea54-bb9a-487e-a256-d398fdd70f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7</Pages>
  <Words>2335</Words>
  <Characters>13780</Characters>
  <Application>Microsoft Office Word</Application>
  <DocSecurity>0</DocSecurity>
  <Lines>114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16083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Kurfürstová Yveta</dc:creator>
  <cp:keywords/>
  <dc:description/>
  <cp:lastModifiedBy>Kaňka Pavel</cp:lastModifiedBy>
  <cp:revision>49</cp:revision>
  <dcterms:created xsi:type="dcterms:W3CDTF">2022-05-10T09:55:00Z</dcterms:created>
  <dcterms:modified xsi:type="dcterms:W3CDTF">2022-06-21T13:25:00Z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0x010100A882E4340BBC544FBE113C0AFEB155D7</vt:lpwstr>
  </property>
</Properties>
</file>