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2787" w14:textId="7789653B" w:rsidR="00DC42DD" w:rsidRPr="00FF66AA" w:rsidRDefault="00DC42DD" w:rsidP="00FF66AA">
      <w:pPr>
        <w:tabs>
          <w:tab w:val="left" w:pos="284"/>
        </w:tabs>
        <w:spacing w:before="240" w:line="240" w:lineRule="auto"/>
        <w:jc w:val="center"/>
        <w:outlineLvl w:val="0"/>
        <w:rPr>
          <w:rFonts w:ascii="Calibri" w:hAnsi="Calibri" w:cs="Calibri"/>
          <w:color w:val="000000"/>
          <w:sz w:val="28"/>
          <w:szCs w:val="28"/>
        </w:rPr>
      </w:pPr>
      <w:bookmarkStart w:id="0" w:name="_Hlk103244057"/>
      <w:r w:rsidRPr="00FF66AA">
        <w:rPr>
          <w:rFonts w:ascii="Calibri" w:hAnsi="Calibri" w:cs="Calibri"/>
          <w:b/>
          <w:bCs/>
          <w:color w:val="000000"/>
          <w:sz w:val="28"/>
          <w:szCs w:val="28"/>
        </w:rPr>
        <w:t>Kontrola výběrových a zadávacích řízení</w:t>
      </w:r>
    </w:p>
    <w:bookmarkEnd w:id="0"/>
    <w:p w14:paraId="4B36CBDE" w14:textId="1BA996E7" w:rsidR="00351E3D" w:rsidRPr="00351E3D" w:rsidRDefault="00351E3D" w:rsidP="6B44EF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  <w:color w:val="000000"/>
        </w:rPr>
      </w:pPr>
      <w:r w:rsidRPr="6B44EF01">
        <w:rPr>
          <w:rFonts w:ascii="Calibri" w:hAnsi="Calibri" w:cs="Calibri"/>
          <w:color w:val="000000" w:themeColor="text1"/>
        </w:rPr>
        <w:t>V případě, že příjemce dotace realizuje v Investici zadávací řízení, musí se řídit zákonem č.</w:t>
      </w:r>
      <w:r w:rsidR="00696FAA">
        <w:rPr>
          <w:rFonts w:ascii="Calibri" w:hAnsi="Calibri" w:cs="Calibri"/>
          <w:color w:val="000000" w:themeColor="text1"/>
        </w:rPr>
        <w:t> </w:t>
      </w:r>
      <w:r w:rsidRPr="6B44EF01">
        <w:rPr>
          <w:rFonts w:ascii="Calibri" w:hAnsi="Calibri" w:cs="Calibri"/>
          <w:color w:val="000000" w:themeColor="text1"/>
        </w:rPr>
        <w:t>134/2016</w:t>
      </w:r>
      <w:r w:rsidR="00696FAA">
        <w:rPr>
          <w:rFonts w:ascii="Calibri" w:hAnsi="Calibri" w:cs="Calibri"/>
          <w:color w:val="000000" w:themeColor="text1"/>
        </w:rPr>
        <w:t> </w:t>
      </w:r>
      <w:r w:rsidRPr="6B44EF01">
        <w:rPr>
          <w:rFonts w:ascii="Calibri" w:hAnsi="Calibri" w:cs="Calibri"/>
          <w:color w:val="000000" w:themeColor="text1"/>
        </w:rPr>
        <w:t>Sb., o zadávání veřejných zakázek, ve znění pozdějších předpisů,</w:t>
      </w:r>
      <w:r w:rsidR="00B10EA7" w:rsidRPr="6B44EF01">
        <w:rPr>
          <w:rFonts w:ascii="Calibri" w:hAnsi="Calibri" w:cs="Calibri"/>
          <w:color w:val="000000" w:themeColor="text1"/>
        </w:rPr>
        <w:t xml:space="preserve"> (dále </w:t>
      </w:r>
      <w:r w:rsidR="00A74030" w:rsidRPr="6B44EF01">
        <w:rPr>
          <w:rFonts w:ascii="Calibri" w:hAnsi="Calibri" w:cs="Calibri"/>
          <w:color w:val="000000" w:themeColor="text1"/>
        </w:rPr>
        <w:t>jen</w:t>
      </w:r>
      <w:r w:rsidR="00B10EA7" w:rsidRPr="6B44EF01">
        <w:rPr>
          <w:rFonts w:ascii="Calibri" w:hAnsi="Calibri" w:cs="Calibri"/>
          <w:color w:val="000000" w:themeColor="text1"/>
        </w:rPr>
        <w:t xml:space="preserve"> „ZZVZ“)</w:t>
      </w:r>
      <w:r w:rsidR="00A5212C">
        <w:rPr>
          <w:rStyle w:val="Znakapoznpodarou"/>
          <w:rFonts w:ascii="Calibri" w:hAnsi="Calibri" w:cs="Calibri"/>
          <w:color w:val="000000" w:themeColor="text1"/>
        </w:rPr>
        <w:footnoteReference w:id="1"/>
      </w:r>
      <w:r w:rsidRPr="6B44EF01">
        <w:rPr>
          <w:rFonts w:ascii="Calibri" w:hAnsi="Calibri" w:cs="Calibri"/>
          <w:color w:val="000000" w:themeColor="text1"/>
        </w:rPr>
        <w:t xml:space="preserve">. Zároveň je nezbytné dodržovat </w:t>
      </w:r>
      <w:r w:rsidR="00315F03">
        <w:rPr>
          <w:rFonts w:ascii="Calibri" w:hAnsi="Calibri" w:cs="Calibri"/>
          <w:color w:val="000000" w:themeColor="text1"/>
        </w:rPr>
        <w:t>z</w:t>
      </w:r>
      <w:r w:rsidR="00315F03" w:rsidRPr="00315F03">
        <w:rPr>
          <w:rFonts w:ascii="Calibri" w:hAnsi="Calibri" w:cs="Calibri"/>
          <w:color w:val="000000" w:themeColor="text1"/>
        </w:rPr>
        <w:t>ásady zadávání veřejných zakázek</w:t>
      </w:r>
      <w:r w:rsidR="00315F03">
        <w:rPr>
          <w:rFonts w:ascii="Calibri" w:hAnsi="Calibri" w:cs="Calibri"/>
          <w:color w:val="000000" w:themeColor="text1"/>
        </w:rPr>
        <w:t xml:space="preserve"> v souladu s § </w:t>
      </w:r>
      <w:r w:rsidR="00991926">
        <w:rPr>
          <w:rFonts w:ascii="Calibri" w:hAnsi="Calibri" w:cs="Calibri"/>
          <w:color w:val="000000" w:themeColor="text1"/>
        </w:rPr>
        <w:t xml:space="preserve">6 ZZVZ. </w:t>
      </w:r>
      <w:r w:rsidRPr="6B44EF01">
        <w:rPr>
          <w:rFonts w:ascii="Calibri" w:hAnsi="Calibri" w:cs="Calibri"/>
          <w:color w:val="000000" w:themeColor="text1"/>
        </w:rPr>
        <w:t xml:space="preserve">Musí předcházet také podvodům, na </w:t>
      </w:r>
      <w:r w:rsidR="00DF60DB" w:rsidRPr="6B44EF01">
        <w:rPr>
          <w:rFonts w:ascii="Calibri" w:hAnsi="Calibri" w:cs="Calibri"/>
          <w:color w:val="000000" w:themeColor="text1"/>
        </w:rPr>
        <w:t>kter</w:t>
      </w:r>
      <w:r w:rsidR="00DF60DB">
        <w:rPr>
          <w:rFonts w:ascii="Calibri" w:hAnsi="Calibri" w:cs="Calibri"/>
          <w:color w:val="000000" w:themeColor="text1"/>
        </w:rPr>
        <w:t>é</w:t>
      </w:r>
      <w:r w:rsidR="00DF60DB" w:rsidRPr="6B44EF01">
        <w:rPr>
          <w:rFonts w:ascii="Calibri" w:hAnsi="Calibri" w:cs="Calibri"/>
          <w:color w:val="000000" w:themeColor="text1"/>
        </w:rPr>
        <w:t xml:space="preserve"> </w:t>
      </w:r>
      <w:r w:rsidRPr="6B44EF01">
        <w:rPr>
          <w:rFonts w:ascii="Calibri" w:hAnsi="Calibri" w:cs="Calibri"/>
          <w:color w:val="000000" w:themeColor="text1"/>
        </w:rPr>
        <w:t xml:space="preserve">musí pohlížet dle širší </w:t>
      </w:r>
      <w:r w:rsidR="6B44EF01" w:rsidRPr="6B44EF01">
        <w:rPr>
          <w:rFonts w:ascii="Calibri" w:eastAsia="Calibri" w:hAnsi="Calibri" w:cs="Calibri"/>
          <w:color w:val="000000" w:themeColor="text1"/>
        </w:rPr>
        <w:t>definice podvodu vyplývající z čl. 3 Směrnice Evropského parlamentu a Rady (EU) 2017/1371 ze dne 5. července 2017 o boji vedeném trestněprávní cestou proti podvodům poškozujícím finanční zájmy Unie a současně dle § 209 a § 212 zákona č. 40/2009 Sb., trestního zákoníku (dále jen “trestní zákoník”). Pro zadávací řízení jsou zcela nepřípustná korupční jednání a příjemce dotace je povinen jim předcházet a nenaplňovat konkrétní části této nekalé činnosti definované v § 331, § 332, § 333 a § 334 trestního zákoníku a zároveň je třeba vycházet i z definice ve smyslu čl. 4. odst. 2 Směrnice Evropského parlamentu a Rady (EU) 2017/1371 ze dne 5. července 2017 o boji vedeném trestněprávní cestou proti podvodům poškozujícím finanční zájmy Unie.</w:t>
      </w:r>
    </w:p>
    <w:p w14:paraId="66FC3840" w14:textId="678C96B9" w:rsidR="6B44EF01" w:rsidRDefault="6B44EF01" w:rsidP="00696FAA">
      <w:pPr>
        <w:spacing w:before="240"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6B44EF01">
        <w:rPr>
          <w:rFonts w:ascii="Calibri" w:eastAsia="Calibri" w:hAnsi="Calibri" w:cs="Calibri"/>
          <w:color w:val="000000" w:themeColor="text1"/>
        </w:rPr>
        <w:t xml:space="preserve">Příjemce dotace je povinen při zadávání veřejných zakázek kontrolovat, aby </w:t>
      </w:r>
      <w:r w:rsidRPr="00696FAA">
        <w:rPr>
          <w:rFonts w:ascii="Calibri" w:eastAsia="Calibri" w:hAnsi="Calibri" w:cs="Calibri"/>
          <w:color w:val="000000" w:themeColor="text1"/>
        </w:rPr>
        <w:t>nebyly</w:t>
      </w:r>
      <w:r w:rsidRPr="6B44EF01">
        <w:rPr>
          <w:rFonts w:ascii="Calibri" w:eastAsia="Calibri" w:hAnsi="Calibri" w:cs="Calibri"/>
          <w:color w:val="000000" w:themeColor="text1"/>
        </w:rPr>
        <w:t xml:space="preserve"> v rámci prostředků poskytnutých z RRF/NPO proplaceny výdaje, při jejichž zadávání došlo ke střetu zájmů dle zákona č.</w:t>
      </w:r>
      <w:r w:rsidR="00696FAA">
        <w:rPr>
          <w:rFonts w:ascii="Calibri" w:eastAsia="Calibri" w:hAnsi="Calibri" w:cs="Calibri"/>
          <w:color w:val="000000" w:themeColor="text1"/>
        </w:rPr>
        <w:t> </w:t>
      </w:r>
      <w:r w:rsidRPr="6B44EF01">
        <w:rPr>
          <w:rFonts w:ascii="Calibri" w:eastAsia="Calibri" w:hAnsi="Calibri" w:cs="Calibri"/>
          <w:color w:val="000000" w:themeColor="text1"/>
        </w:rPr>
        <w:t>159/2006 Sb., o střetu zájmů, ve znění pozdějších předpisů, a dle § 44 zákona č. 134/2016 Sb., o</w:t>
      </w:r>
      <w:r w:rsidR="00696FAA">
        <w:rPr>
          <w:rFonts w:ascii="Calibri" w:eastAsia="Calibri" w:hAnsi="Calibri" w:cs="Calibri"/>
          <w:color w:val="000000" w:themeColor="text1"/>
        </w:rPr>
        <w:t> </w:t>
      </w:r>
      <w:r w:rsidRPr="6B44EF01">
        <w:rPr>
          <w:rFonts w:ascii="Calibri" w:eastAsia="Calibri" w:hAnsi="Calibri" w:cs="Calibri"/>
          <w:color w:val="000000" w:themeColor="text1"/>
        </w:rPr>
        <w:t>zadávání veřejných zakázek, ve znění pozdějších předpisů, a k tomu musí být příjemcem dotace využity veškeré dostupné veřejné rejstříky a další databázové a vyhledávací nástroje, za jejichž pomocí bude schopen příjemce dotace včas identifikovat skutečné majitele dodavatelů a subdodavatelů. Příjemce dotace, tj. zadavatel, musí již při přípravě zadávacích podmínek a dokumentací, hodnocení nabídek a rozhodnutí o přidělení veřejné zakázky, přijmout taková opatření, aby i osoby na straně zadavatele nebyly ve střetu zájmu vůči vítěznému dodavateli i všem subdodavatelům.</w:t>
      </w:r>
    </w:p>
    <w:p w14:paraId="1037E5BC" w14:textId="241648C7" w:rsidR="00351E3D" w:rsidRPr="00351E3D" w:rsidRDefault="00351E3D" w:rsidP="00696F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6B44EF01">
        <w:rPr>
          <w:rFonts w:ascii="Calibri" w:hAnsi="Calibri" w:cs="Calibri"/>
          <w:color w:val="000000" w:themeColor="text1"/>
        </w:rPr>
        <w:t>Povinnost postupu podle výše uvedených právních předpisů se týká všech projektových aktivit hrazených z Nástroje pro oživení a odolnost (</w:t>
      </w:r>
      <w:proofErr w:type="spellStart"/>
      <w:r w:rsidRPr="6B44EF01">
        <w:rPr>
          <w:rFonts w:ascii="Calibri" w:hAnsi="Calibri" w:cs="Calibri"/>
          <w:color w:val="000000" w:themeColor="text1"/>
        </w:rPr>
        <w:t>Recovery</w:t>
      </w:r>
      <w:proofErr w:type="spellEnd"/>
      <w:r w:rsidRPr="6B44EF01">
        <w:rPr>
          <w:rFonts w:ascii="Calibri" w:hAnsi="Calibri" w:cs="Calibri"/>
          <w:color w:val="000000" w:themeColor="text1"/>
        </w:rPr>
        <w:t xml:space="preserve"> and </w:t>
      </w:r>
      <w:proofErr w:type="spellStart"/>
      <w:r w:rsidRPr="6B44EF01">
        <w:rPr>
          <w:rFonts w:ascii="Calibri" w:hAnsi="Calibri" w:cs="Calibri"/>
          <w:color w:val="000000" w:themeColor="text1"/>
        </w:rPr>
        <w:t>Resilience</w:t>
      </w:r>
      <w:proofErr w:type="spellEnd"/>
      <w:r w:rsidRPr="6B44EF01">
        <w:rPr>
          <w:rFonts w:ascii="Calibri" w:hAnsi="Calibri" w:cs="Calibri"/>
          <w:color w:val="000000" w:themeColor="text1"/>
        </w:rPr>
        <w:t xml:space="preserve"> Facility, dále také “RRF”) </w:t>
      </w:r>
      <w:r w:rsidR="00661C7F">
        <w:rPr>
          <w:rFonts w:ascii="Calibri" w:hAnsi="Calibri" w:cs="Calibri"/>
          <w:color w:val="000000" w:themeColor="text1"/>
        </w:rPr>
        <w:br/>
      </w:r>
      <w:r w:rsidRPr="6B44EF01">
        <w:rPr>
          <w:rFonts w:ascii="Calibri" w:hAnsi="Calibri" w:cs="Calibri"/>
          <w:color w:val="000000" w:themeColor="text1"/>
        </w:rPr>
        <w:t xml:space="preserve">i ze státního rozpočtu. V případě nedodržení uvedených povinností nemůže být náklad započten do způsobilých výdajů projektu. Dohled nad principy veřejné soutěže provádí Úřad pro ochranu hospodářské soutěže </w:t>
      </w:r>
      <w:r w:rsidR="00DC313C" w:rsidRPr="6B44EF01">
        <w:rPr>
          <w:rFonts w:ascii="Calibri" w:hAnsi="Calibri" w:cs="Calibri"/>
          <w:color w:val="000000" w:themeColor="text1"/>
        </w:rPr>
        <w:t>(dále jen „ÚOHS“)</w:t>
      </w:r>
      <w:r w:rsidRPr="6B44EF01">
        <w:rPr>
          <w:rFonts w:ascii="Calibri" w:hAnsi="Calibri" w:cs="Calibri"/>
          <w:color w:val="000000" w:themeColor="text1"/>
        </w:rPr>
        <w:t xml:space="preserve">. </w:t>
      </w:r>
    </w:p>
    <w:p w14:paraId="3C830D46" w14:textId="05F2BF28" w:rsidR="00DC42DD" w:rsidRPr="00F20C3A" w:rsidRDefault="00DC42DD" w:rsidP="00696F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00F20C3A">
        <w:rPr>
          <w:rFonts w:ascii="Calibri" w:hAnsi="Calibri" w:cs="Calibri"/>
          <w:color w:val="000000"/>
        </w:rPr>
        <w:t xml:space="preserve">Veškerá výběrová/zadávací řízení, které je zadavatel povinen provádět, podléhají </w:t>
      </w:r>
      <w:r w:rsidR="00395675" w:rsidRPr="3F952FE1">
        <w:rPr>
          <w:rFonts w:ascii="Calibri" w:hAnsi="Calibri" w:cs="Calibri"/>
          <w:color w:val="000000" w:themeColor="text1"/>
        </w:rPr>
        <w:t xml:space="preserve">ex post </w:t>
      </w:r>
      <w:r w:rsidRPr="00F20C3A">
        <w:rPr>
          <w:rFonts w:ascii="Calibri" w:hAnsi="Calibri" w:cs="Calibri"/>
          <w:color w:val="000000"/>
        </w:rPr>
        <w:t xml:space="preserve">kontrole </w:t>
      </w:r>
      <w:r w:rsidR="00661C7F">
        <w:rPr>
          <w:rFonts w:ascii="Calibri" w:hAnsi="Calibri" w:cs="Calibri"/>
          <w:color w:val="000000"/>
        </w:rPr>
        <w:br/>
      </w:r>
      <w:r w:rsidRPr="00F20C3A">
        <w:rPr>
          <w:rFonts w:ascii="Calibri" w:hAnsi="Calibri" w:cs="Calibri"/>
          <w:color w:val="000000"/>
        </w:rPr>
        <w:t xml:space="preserve">ze strany </w:t>
      </w:r>
      <w:r>
        <w:rPr>
          <w:rFonts w:ascii="Calibri" w:hAnsi="Calibri" w:cs="Calibri"/>
          <w:color w:val="000000"/>
        </w:rPr>
        <w:t>poskytovatele</w:t>
      </w:r>
      <w:r w:rsidR="00395675" w:rsidRPr="3F952FE1">
        <w:rPr>
          <w:rFonts w:ascii="Calibri" w:hAnsi="Calibri" w:cs="Calibri"/>
          <w:color w:val="000000" w:themeColor="text1"/>
        </w:rPr>
        <w:t>.</w:t>
      </w:r>
      <w:r w:rsidRPr="00F20C3A">
        <w:rPr>
          <w:rFonts w:ascii="Calibri" w:hAnsi="Calibri" w:cs="Calibri"/>
          <w:color w:val="000000"/>
        </w:rPr>
        <w:t xml:space="preserve"> </w:t>
      </w:r>
    </w:p>
    <w:p w14:paraId="0AA0F85F" w14:textId="77777777" w:rsidR="00DC42DD" w:rsidRPr="00F20C3A" w:rsidRDefault="00DC42DD" w:rsidP="00DC42DD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0C3A">
        <w:rPr>
          <w:rFonts w:ascii="Calibri" w:hAnsi="Calibri" w:cs="Calibri"/>
          <w:b/>
          <w:bCs/>
          <w:color w:val="000000"/>
          <w:sz w:val="23"/>
          <w:szCs w:val="23"/>
        </w:rPr>
        <w:t xml:space="preserve">Povinnosti zadavatele k uchování dokumentace </w:t>
      </w:r>
    </w:p>
    <w:p w14:paraId="5C6501FE" w14:textId="56BFDFCB" w:rsidR="00DC42DD" w:rsidRPr="00D95815" w:rsidRDefault="00DC42DD" w:rsidP="00DC42DD">
      <w:pPr>
        <w:autoSpaceDE w:val="0"/>
        <w:autoSpaceDN w:val="0"/>
        <w:adjustRightInd w:val="0"/>
        <w:spacing w:before="240" w:after="217" w:line="240" w:lineRule="auto"/>
        <w:jc w:val="both"/>
        <w:rPr>
          <w:rFonts w:ascii="Calibri" w:hAnsi="Calibri" w:cs="Calibri"/>
          <w:color w:val="000000"/>
        </w:rPr>
      </w:pPr>
      <w:r w:rsidRPr="00D95815">
        <w:rPr>
          <w:rFonts w:ascii="Calibri" w:hAnsi="Calibri" w:cs="Calibri"/>
          <w:color w:val="000000"/>
        </w:rPr>
        <w:t xml:space="preserve">Zadavatel je povinen uchovávat dokumentaci o zakázce a záznamy o elektronických úkonech související se zadáním zakázky. Dokumentací o zakázce se rozumí souhrn všech dokumentů v listinné či elektronické podobě, </w:t>
      </w:r>
      <w:r w:rsidR="00234EF4">
        <w:rPr>
          <w:rFonts w:ascii="Calibri" w:hAnsi="Calibri" w:cs="Calibri"/>
          <w:color w:val="000000"/>
        </w:rPr>
        <w:t>z</w:t>
      </w:r>
      <w:r w:rsidRPr="00D95815">
        <w:rPr>
          <w:rFonts w:ascii="Calibri" w:hAnsi="Calibri" w:cs="Calibri"/>
          <w:color w:val="000000"/>
        </w:rPr>
        <w:t xml:space="preserve"> průběhu </w:t>
      </w:r>
      <w:r w:rsidR="00234EF4">
        <w:rPr>
          <w:rFonts w:ascii="Calibri" w:hAnsi="Calibri" w:cs="Calibri"/>
          <w:color w:val="000000"/>
        </w:rPr>
        <w:t>zadávacího</w:t>
      </w:r>
      <w:r w:rsidR="00234EF4" w:rsidRPr="00D95815">
        <w:rPr>
          <w:rFonts w:ascii="Calibri" w:hAnsi="Calibri" w:cs="Calibri"/>
          <w:color w:val="000000"/>
        </w:rPr>
        <w:t xml:space="preserve"> </w:t>
      </w:r>
      <w:r w:rsidRPr="00D95815">
        <w:rPr>
          <w:rFonts w:ascii="Calibri" w:hAnsi="Calibri" w:cs="Calibri"/>
          <w:color w:val="000000"/>
        </w:rPr>
        <w:t xml:space="preserve">řízení, popř. po jeho ukončení, vč. nabídek jednotlivých účastníků. </w:t>
      </w:r>
    </w:p>
    <w:p w14:paraId="2A0A50EE" w14:textId="77777777" w:rsidR="00DC42DD" w:rsidRPr="001258CF" w:rsidRDefault="00DC42DD" w:rsidP="00DC42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258CF">
        <w:rPr>
          <w:rFonts w:ascii="Calibri" w:hAnsi="Calibri" w:cs="Calibri"/>
          <w:color w:val="000000"/>
        </w:rPr>
        <w:t xml:space="preserve">Pro účely ověření správnosti postupu zadavatele při zadávání zakázky budou při kontrolách vyžadovány zejména následující dokumenty: </w:t>
      </w:r>
    </w:p>
    <w:p w14:paraId="68CF8443" w14:textId="77777777" w:rsidR="00DC42DD" w:rsidRPr="0013465A" w:rsidRDefault="00DC42DD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 w:rsidRPr="0013465A">
        <w:rPr>
          <w:rFonts w:ascii="Calibri" w:hAnsi="Calibri" w:cs="Calibri"/>
          <w:color w:val="000000"/>
        </w:rPr>
        <w:t>zadávací podmínky vymezující předmět zakázky, včetně dokladů prokazujících jejich odeslání či uveřejnění</w:t>
      </w:r>
      <w:r>
        <w:rPr>
          <w:rFonts w:ascii="Calibri" w:hAnsi="Calibri" w:cs="Calibri"/>
          <w:color w:val="000000"/>
        </w:rPr>
        <w:t>,</w:t>
      </w:r>
      <w:r w:rsidRPr="0013465A">
        <w:rPr>
          <w:rFonts w:ascii="Calibri" w:hAnsi="Calibri" w:cs="Calibri"/>
          <w:color w:val="000000"/>
        </w:rPr>
        <w:t xml:space="preserve"> </w:t>
      </w:r>
    </w:p>
    <w:p w14:paraId="7C11FB51" w14:textId="77777777" w:rsidR="00DC42DD" w:rsidRPr="00F20C3A" w:rsidRDefault="00DC42DD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 w:rsidRPr="00F20C3A">
        <w:rPr>
          <w:rFonts w:ascii="Calibri" w:hAnsi="Calibri" w:cs="Calibri"/>
          <w:color w:val="000000"/>
        </w:rPr>
        <w:t>vysvětlení zadávacích podmínek</w:t>
      </w:r>
      <w:r>
        <w:rPr>
          <w:rFonts w:ascii="Calibri" w:hAnsi="Calibri" w:cs="Calibri"/>
          <w:color w:val="000000"/>
        </w:rPr>
        <w:t>,</w:t>
      </w:r>
      <w:r w:rsidRPr="00F20C3A">
        <w:rPr>
          <w:rFonts w:ascii="Calibri" w:hAnsi="Calibri" w:cs="Calibri"/>
          <w:color w:val="000000"/>
        </w:rPr>
        <w:t xml:space="preserve"> pokud bylo poskytnuto, včetně případných žádostí o</w:t>
      </w:r>
      <w:r>
        <w:rPr>
          <w:rFonts w:ascii="Calibri" w:hAnsi="Calibri" w:cs="Calibri"/>
          <w:color w:val="000000"/>
        </w:rPr>
        <w:t> </w:t>
      </w:r>
      <w:r w:rsidRPr="00F20C3A">
        <w:rPr>
          <w:rFonts w:ascii="Calibri" w:hAnsi="Calibri" w:cs="Calibri"/>
          <w:color w:val="000000"/>
        </w:rPr>
        <w:t>něj a</w:t>
      </w:r>
      <w:r>
        <w:rPr>
          <w:rFonts w:ascii="Calibri" w:hAnsi="Calibri" w:cs="Calibri"/>
          <w:color w:val="000000"/>
        </w:rPr>
        <w:t> </w:t>
      </w:r>
      <w:r w:rsidRPr="00F20C3A">
        <w:rPr>
          <w:rFonts w:ascii="Calibri" w:hAnsi="Calibri" w:cs="Calibri"/>
          <w:color w:val="000000"/>
        </w:rPr>
        <w:t>dokladů prokazujících jeho odeslání nebo uveřejnění</w:t>
      </w:r>
      <w:r>
        <w:rPr>
          <w:rFonts w:ascii="Calibri" w:hAnsi="Calibri" w:cs="Calibri"/>
          <w:color w:val="000000"/>
        </w:rPr>
        <w:t>,</w:t>
      </w:r>
    </w:p>
    <w:p w14:paraId="58E351BA" w14:textId="04750351" w:rsidR="00DC42DD" w:rsidRPr="00FE645D" w:rsidRDefault="00C05303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přehled </w:t>
      </w:r>
      <w:r w:rsidR="00DC42DD" w:rsidRPr="00FE645D">
        <w:rPr>
          <w:rFonts w:ascii="Calibri" w:hAnsi="Calibri" w:cs="Calibri"/>
          <w:color w:val="000000"/>
        </w:rPr>
        <w:t>nabíd</w:t>
      </w:r>
      <w:r>
        <w:rPr>
          <w:rFonts w:ascii="Calibri" w:hAnsi="Calibri" w:cs="Calibri"/>
          <w:color w:val="000000"/>
        </w:rPr>
        <w:t>ek</w:t>
      </w:r>
      <w:r w:rsidR="00DC42DD" w:rsidRPr="00FE645D">
        <w:rPr>
          <w:rFonts w:ascii="Calibri" w:hAnsi="Calibri" w:cs="Calibri"/>
          <w:color w:val="000000"/>
        </w:rPr>
        <w:t xml:space="preserve"> podan</w:t>
      </w:r>
      <w:r>
        <w:rPr>
          <w:rFonts w:ascii="Calibri" w:hAnsi="Calibri" w:cs="Calibri"/>
          <w:color w:val="000000"/>
        </w:rPr>
        <w:t>ých</w:t>
      </w:r>
      <w:r w:rsidR="00DC42DD" w:rsidRPr="00FE645D">
        <w:rPr>
          <w:rFonts w:ascii="Calibri" w:hAnsi="Calibri" w:cs="Calibri"/>
          <w:color w:val="000000"/>
        </w:rPr>
        <w:t xml:space="preserve"> účastníky, včetně </w:t>
      </w:r>
      <w:r w:rsidR="002672D9">
        <w:rPr>
          <w:rFonts w:ascii="Calibri" w:hAnsi="Calibri" w:cs="Calibri"/>
          <w:color w:val="000000"/>
        </w:rPr>
        <w:t>informací z průběhu hodnocení nabídek vč. </w:t>
      </w:r>
      <w:r w:rsidR="00DC42DD" w:rsidRPr="00FE645D">
        <w:rPr>
          <w:rFonts w:ascii="Calibri" w:hAnsi="Calibri" w:cs="Calibri"/>
          <w:color w:val="000000"/>
        </w:rPr>
        <w:t>objasnění či doplnění</w:t>
      </w:r>
      <w:r w:rsidR="00DC42DD">
        <w:rPr>
          <w:rFonts w:ascii="Calibri" w:hAnsi="Calibri" w:cs="Calibri"/>
          <w:color w:val="000000"/>
        </w:rPr>
        <w:t>,</w:t>
      </w:r>
    </w:p>
    <w:p w14:paraId="23C33DCA" w14:textId="44D89407" w:rsidR="00DC42DD" w:rsidRPr="00F20C3A" w:rsidRDefault="00DC42DD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 w:rsidRPr="00F20C3A">
        <w:rPr>
          <w:rFonts w:ascii="Calibri" w:hAnsi="Calibri" w:cs="Calibri"/>
          <w:color w:val="000000"/>
        </w:rPr>
        <w:t>protokol o otevírání obálek, posouzení a hodnocení nabídek podepsaný příslušnými osobami</w:t>
      </w:r>
      <w:r w:rsidR="002672D9">
        <w:rPr>
          <w:rFonts w:ascii="Calibri" w:hAnsi="Calibri" w:cs="Calibri"/>
          <w:color w:val="000000"/>
        </w:rPr>
        <w:t>,</w:t>
      </w:r>
      <w:r w:rsidRPr="00F20C3A">
        <w:rPr>
          <w:rFonts w:ascii="Calibri" w:hAnsi="Calibri" w:cs="Calibri"/>
          <w:color w:val="000000"/>
        </w:rPr>
        <w:t xml:space="preserve"> </w:t>
      </w:r>
    </w:p>
    <w:p w14:paraId="14263378" w14:textId="77777777" w:rsidR="00DC42DD" w:rsidRPr="00F20C3A" w:rsidRDefault="00DC42DD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 w:rsidRPr="00F20C3A">
        <w:rPr>
          <w:rFonts w:ascii="Calibri" w:hAnsi="Calibri" w:cs="Calibri"/>
          <w:color w:val="000000"/>
        </w:rPr>
        <w:t>smlouva uzavřená s vybraným dodavatelem, včetně jejich případných dodatků</w:t>
      </w:r>
      <w:r>
        <w:rPr>
          <w:rFonts w:ascii="Calibri" w:hAnsi="Calibri" w:cs="Calibri"/>
          <w:color w:val="000000"/>
        </w:rPr>
        <w:t>,</w:t>
      </w:r>
    </w:p>
    <w:p w14:paraId="18914834" w14:textId="77777777" w:rsidR="00DC42DD" w:rsidRPr="00F20C3A" w:rsidRDefault="00DC42DD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 w:rsidRPr="00F20C3A">
        <w:rPr>
          <w:rFonts w:ascii="Calibri" w:hAnsi="Calibri" w:cs="Calibri"/>
          <w:color w:val="000000"/>
        </w:rPr>
        <w:t>oznámení o výsledku výběrového řízení zaslaná všem účastníkům, kteří podali nabídku ve lhůtě pro podání nabídek, jejichž nabídka nebyla vyřazena, včetně dokladů prokazujících jejich odeslání nebo uveřejnění</w:t>
      </w:r>
      <w:r>
        <w:rPr>
          <w:rFonts w:ascii="Calibri" w:hAnsi="Calibri" w:cs="Calibri"/>
          <w:color w:val="000000"/>
        </w:rPr>
        <w:t>,</w:t>
      </w:r>
      <w:r w:rsidRPr="00F20C3A">
        <w:rPr>
          <w:rFonts w:ascii="Calibri" w:hAnsi="Calibri" w:cs="Calibri"/>
          <w:color w:val="000000"/>
        </w:rPr>
        <w:t xml:space="preserve"> </w:t>
      </w:r>
    </w:p>
    <w:p w14:paraId="188BC2EB" w14:textId="77777777" w:rsidR="00DC42DD" w:rsidRPr="00F20C3A" w:rsidRDefault="00DC42DD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 w:rsidRPr="00F20C3A">
        <w:rPr>
          <w:rFonts w:ascii="Calibri" w:hAnsi="Calibri" w:cs="Calibri"/>
          <w:color w:val="000000"/>
        </w:rPr>
        <w:t>oznámení o vyloučení účastníka, pokud byli nějací účastníci vyloučeni, včetně dokladů prokazujících jejich odeslání nebo uveřejnění</w:t>
      </w:r>
      <w:r>
        <w:rPr>
          <w:rFonts w:ascii="Calibri" w:hAnsi="Calibri" w:cs="Calibri"/>
          <w:color w:val="000000"/>
        </w:rPr>
        <w:t>,</w:t>
      </w:r>
    </w:p>
    <w:p w14:paraId="44C1648C" w14:textId="7CD19BB4" w:rsidR="00DC42DD" w:rsidRDefault="00DC42DD" w:rsidP="00DC42D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7" w:line="240" w:lineRule="auto"/>
        <w:jc w:val="both"/>
        <w:rPr>
          <w:rFonts w:ascii="Calibri" w:hAnsi="Calibri" w:cs="Calibri"/>
          <w:color w:val="000000"/>
        </w:rPr>
      </w:pPr>
      <w:r w:rsidRPr="3F952FE1">
        <w:rPr>
          <w:rFonts w:ascii="Calibri" w:hAnsi="Calibri" w:cs="Calibri"/>
          <w:color w:val="000000" w:themeColor="text1"/>
        </w:rPr>
        <w:t xml:space="preserve">jmenování pověřené osoby nebo komise, pokud byly jmenovány, včetně čestného prohlášení o neexistenci střetu zájmů. </w:t>
      </w:r>
    </w:p>
    <w:p w14:paraId="4A3B2B05" w14:textId="19F96596" w:rsidR="00DC42DD" w:rsidRPr="001258CF" w:rsidRDefault="00DC42DD" w:rsidP="00DC42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258CF">
        <w:rPr>
          <w:rFonts w:ascii="Calibri" w:hAnsi="Calibri" w:cs="Calibri"/>
          <w:color w:val="000000"/>
        </w:rPr>
        <w:t xml:space="preserve">Při kontrole zakázky malého rozsahu budou kontrolovány předložené účetní doklady. Zadavatel může dokladovat realizaci přímého nákupu kromě účetního dokladu také písemnou objednávkou plnění nebo smlouvou, pokud byla uzavřena. V tomto případě je rozhodným dokumentem pro provedení kontroly účetní doklad. </w:t>
      </w:r>
    </w:p>
    <w:p w14:paraId="3166E8D1" w14:textId="77777777" w:rsidR="00DC313C" w:rsidRDefault="00DC42DD" w:rsidP="00DC31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F20C3A">
        <w:rPr>
          <w:rFonts w:ascii="Calibri" w:hAnsi="Calibri" w:cs="Calibri"/>
          <w:b/>
          <w:bCs/>
          <w:color w:val="000000"/>
          <w:sz w:val="23"/>
          <w:szCs w:val="23"/>
        </w:rPr>
        <w:t xml:space="preserve">Kontrola postupu zadavatele </w:t>
      </w:r>
    </w:p>
    <w:p w14:paraId="429566FB" w14:textId="5A66D966" w:rsidR="00DC42DD" w:rsidRPr="00E91BC5" w:rsidRDefault="00DC42DD" w:rsidP="3F952FE1">
      <w:pPr>
        <w:autoSpaceDE w:val="0"/>
        <w:autoSpaceDN w:val="0"/>
        <w:adjustRightInd w:val="0"/>
        <w:spacing w:before="240" w:line="240" w:lineRule="auto"/>
        <w:jc w:val="both"/>
        <w:rPr>
          <w:rFonts w:eastAsiaTheme="minorEastAsia"/>
          <w:color w:val="000000"/>
          <w:sz w:val="14"/>
          <w:szCs w:val="14"/>
        </w:rPr>
      </w:pPr>
      <w:r w:rsidRPr="3F952FE1">
        <w:rPr>
          <w:rFonts w:eastAsiaTheme="minorEastAsia"/>
          <w:color w:val="000000" w:themeColor="text1"/>
        </w:rPr>
        <w:t>Zadavatel, který v rámci realizace projektu zadává veřejnou zakázku v zadávacím řízení podle ZZVZ hrazenou z dotace nebo hodlá sjednat změnu závazku ze smlouvy hrazenému z dotace, umožní poskytovatel</w:t>
      </w:r>
      <w:r w:rsidR="00DC313C" w:rsidRPr="3F952FE1">
        <w:rPr>
          <w:rFonts w:eastAsiaTheme="minorEastAsia"/>
          <w:color w:val="000000" w:themeColor="text1"/>
        </w:rPr>
        <w:t>i</w:t>
      </w:r>
      <w:r w:rsidRPr="3F952FE1">
        <w:rPr>
          <w:rFonts w:eastAsiaTheme="minorEastAsia"/>
          <w:color w:val="000000" w:themeColor="text1"/>
        </w:rPr>
        <w:t xml:space="preserve"> provedení průběžné kontroly postupu zadavatele na základě </w:t>
      </w:r>
      <w:r w:rsidR="00443C22" w:rsidRPr="3F952FE1">
        <w:rPr>
          <w:rFonts w:eastAsiaTheme="minorEastAsia"/>
          <w:color w:val="000000" w:themeColor="text1"/>
        </w:rPr>
        <w:t xml:space="preserve">výše uvedené </w:t>
      </w:r>
      <w:r w:rsidRPr="3F952FE1">
        <w:rPr>
          <w:rFonts w:eastAsiaTheme="minorEastAsia"/>
          <w:color w:val="000000" w:themeColor="text1"/>
        </w:rPr>
        <w:t>dokumentace.</w:t>
      </w:r>
    </w:p>
    <w:p w14:paraId="2DE865AC" w14:textId="1769A0A5" w:rsidR="002672D9" w:rsidRPr="00696FAA" w:rsidRDefault="00DC313C" w:rsidP="3F952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99" w:line="240" w:lineRule="auto"/>
        <w:jc w:val="both"/>
        <w:rPr>
          <w:rFonts w:eastAsiaTheme="minorEastAsia"/>
          <w:color w:val="000000"/>
        </w:rPr>
      </w:pPr>
      <w:r w:rsidRPr="00696FAA">
        <w:rPr>
          <w:rFonts w:eastAsiaTheme="minorEastAsia"/>
          <w:color w:val="000000"/>
        </w:rPr>
        <w:t>Ke</w:t>
      </w:r>
      <w:r w:rsidR="00DC42DD" w:rsidRPr="00696FAA">
        <w:rPr>
          <w:rFonts w:eastAsiaTheme="minorEastAsia"/>
          <w:color w:val="000000"/>
        </w:rPr>
        <w:t xml:space="preserve"> kontrole zadávacího řízení</w:t>
      </w:r>
      <w:r w:rsidR="002672D9" w:rsidRPr="00696FAA">
        <w:rPr>
          <w:rFonts w:eastAsiaTheme="minorEastAsia"/>
          <w:color w:val="000000"/>
        </w:rPr>
        <w:t xml:space="preserve">, které bude hrazeno z dotace, </w:t>
      </w:r>
      <w:r w:rsidR="00DC42DD" w:rsidRPr="00696FAA">
        <w:rPr>
          <w:rFonts w:eastAsiaTheme="minorEastAsia"/>
          <w:color w:val="000000"/>
        </w:rPr>
        <w:t xml:space="preserve">zadavatel předloží </w:t>
      </w:r>
      <w:r w:rsidR="002672D9" w:rsidRPr="00696FAA">
        <w:rPr>
          <w:rFonts w:eastAsiaTheme="minorEastAsia"/>
        </w:rPr>
        <w:t>výše uvedené výstupy ze zadávacího řízení.</w:t>
      </w:r>
      <w:r w:rsidR="00DC42DD" w:rsidRPr="00696FAA">
        <w:rPr>
          <w:rFonts w:eastAsiaTheme="minorEastAsia"/>
          <w:color w:val="000000"/>
        </w:rPr>
        <w:t xml:space="preserve"> V případě nabídek zadavatel předloží </w:t>
      </w:r>
      <w:r w:rsidRPr="00696FAA">
        <w:rPr>
          <w:rFonts w:eastAsiaTheme="minorEastAsia"/>
          <w:color w:val="000000"/>
        </w:rPr>
        <w:t>ke</w:t>
      </w:r>
      <w:r w:rsidR="00DC42DD" w:rsidRPr="00696FAA">
        <w:rPr>
          <w:rFonts w:eastAsiaTheme="minorEastAsia"/>
          <w:color w:val="000000"/>
        </w:rPr>
        <w:t xml:space="preserve"> kontrole </w:t>
      </w:r>
      <w:r w:rsidR="002672D9" w:rsidRPr="00696FAA">
        <w:rPr>
          <w:rFonts w:eastAsiaTheme="minorEastAsia"/>
          <w:color w:val="000000"/>
        </w:rPr>
        <w:t>pouze</w:t>
      </w:r>
      <w:r w:rsidR="00DC42DD" w:rsidRPr="00696FAA">
        <w:rPr>
          <w:rFonts w:eastAsiaTheme="minorEastAsia"/>
          <w:color w:val="000000"/>
        </w:rPr>
        <w:t xml:space="preserve"> nabídku, která byla vybrána jako nejvhodnější. </w:t>
      </w:r>
    </w:p>
    <w:p w14:paraId="26C3925D" w14:textId="4C9C123C" w:rsidR="00DC42DD" w:rsidRPr="00696FAA" w:rsidRDefault="00DC313C" w:rsidP="3F952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99" w:line="240" w:lineRule="auto"/>
        <w:jc w:val="both"/>
        <w:rPr>
          <w:rFonts w:eastAsiaTheme="minorEastAsia"/>
          <w:color w:val="000000"/>
          <w:sz w:val="14"/>
          <w:szCs w:val="14"/>
        </w:rPr>
      </w:pPr>
      <w:r w:rsidRPr="00696FAA">
        <w:rPr>
          <w:rFonts w:eastAsiaTheme="minorEastAsia"/>
          <w:color w:val="000000" w:themeColor="text1"/>
        </w:rPr>
        <w:t>Ke</w:t>
      </w:r>
      <w:r w:rsidR="00DC42DD" w:rsidRPr="00696FAA">
        <w:rPr>
          <w:rFonts w:eastAsiaTheme="minorEastAsia"/>
          <w:color w:val="000000" w:themeColor="text1"/>
        </w:rPr>
        <w:t xml:space="preserve"> kontrole změny závazku ze smlouvy na veřejnou zakázku předloží zadavatel finální znění dodatku </w:t>
      </w:r>
      <w:r w:rsidR="00696FAA">
        <w:rPr>
          <w:rFonts w:eastAsiaTheme="minorEastAsia"/>
          <w:color w:val="000000" w:themeColor="text1"/>
        </w:rPr>
        <w:t>ke</w:t>
      </w:r>
      <w:r w:rsidR="00DC42DD" w:rsidRPr="00696FAA">
        <w:rPr>
          <w:rFonts w:eastAsiaTheme="minorEastAsia"/>
          <w:color w:val="000000" w:themeColor="text1"/>
        </w:rPr>
        <w:t xml:space="preserve"> smlouv</w:t>
      </w:r>
      <w:r w:rsidR="00696FAA">
        <w:rPr>
          <w:rFonts w:eastAsiaTheme="minorEastAsia"/>
          <w:color w:val="000000" w:themeColor="text1"/>
        </w:rPr>
        <w:t>ě</w:t>
      </w:r>
      <w:r w:rsidR="00DC42DD" w:rsidRPr="00696FAA">
        <w:rPr>
          <w:rFonts w:eastAsiaTheme="minorEastAsia"/>
          <w:color w:val="000000" w:themeColor="text1"/>
        </w:rPr>
        <w:t xml:space="preserve">, ke které se předmětný dodatek váže a odůvodnění, ze kterého bude jednoznačně vyplývat, že sjednáním změny zadavatel neumožní podstatnou změnu závazku </w:t>
      </w:r>
      <w:r w:rsidR="00661C7F">
        <w:rPr>
          <w:rFonts w:eastAsiaTheme="minorEastAsia"/>
          <w:color w:val="000000" w:themeColor="text1"/>
        </w:rPr>
        <w:br/>
      </w:r>
      <w:r w:rsidR="00DC42DD" w:rsidRPr="00696FAA">
        <w:rPr>
          <w:rFonts w:eastAsiaTheme="minorEastAsia"/>
          <w:color w:val="000000" w:themeColor="text1"/>
        </w:rPr>
        <w:t>ze smlouvy na veřejnou zakázku ve smyslu § 222 odst. 3 ZZVZ.</w:t>
      </w:r>
    </w:p>
    <w:p w14:paraId="27AAE8B9" w14:textId="42FE922F" w:rsidR="00DC42DD" w:rsidRPr="00696FAA" w:rsidRDefault="00DC42DD" w:rsidP="3F952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99" w:line="240" w:lineRule="auto"/>
        <w:jc w:val="both"/>
        <w:rPr>
          <w:rFonts w:eastAsiaTheme="minorEastAsia"/>
          <w:color w:val="000000"/>
          <w:sz w:val="14"/>
          <w:szCs w:val="14"/>
        </w:rPr>
      </w:pPr>
      <w:r w:rsidRPr="00696FAA">
        <w:rPr>
          <w:rFonts w:eastAsiaTheme="minorEastAsia"/>
          <w:color w:val="000000" w:themeColor="text1"/>
        </w:rPr>
        <w:t xml:space="preserve">Dokumentaci předloží zadavatel prostřednictvím </w:t>
      </w:r>
      <w:r w:rsidR="00DC313C" w:rsidRPr="00696FAA">
        <w:rPr>
          <w:rFonts w:eastAsiaTheme="minorEastAsia"/>
          <w:color w:val="000000" w:themeColor="text1"/>
        </w:rPr>
        <w:t>datové schránky</w:t>
      </w:r>
      <w:r w:rsidR="002672D9" w:rsidRPr="00696FAA">
        <w:rPr>
          <w:rFonts w:eastAsiaTheme="minorEastAsia"/>
          <w:color w:val="000000" w:themeColor="text1"/>
        </w:rPr>
        <w:t>.</w:t>
      </w:r>
    </w:p>
    <w:p w14:paraId="62AED68C" w14:textId="77777777" w:rsidR="00DC42DD" w:rsidRPr="00696FAA" w:rsidRDefault="00DC42DD" w:rsidP="3F952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99" w:line="240" w:lineRule="auto"/>
        <w:jc w:val="both"/>
        <w:rPr>
          <w:rFonts w:eastAsiaTheme="minorEastAsia"/>
          <w:color w:val="000000"/>
        </w:rPr>
      </w:pPr>
      <w:r w:rsidRPr="00696FAA">
        <w:rPr>
          <w:rFonts w:eastAsiaTheme="minorEastAsia"/>
          <w:color w:val="000000" w:themeColor="text1"/>
        </w:rPr>
        <w:t xml:space="preserve">Pokud je to pro ukončení kontroly nezbytné, může poskytovatel požádat zadavatele o doplnění nebo objasnění předložené dokumentace. </w:t>
      </w:r>
    </w:p>
    <w:p w14:paraId="6869B4CA" w14:textId="32CA0009" w:rsidR="00DC42DD" w:rsidRPr="00696FAA" w:rsidRDefault="00DC42DD" w:rsidP="3F952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99" w:line="240" w:lineRule="auto"/>
        <w:jc w:val="both"/>
        <w:rPr>
          <w:rFonts w:eastAsiaTheme="minorEastAsia"/>
          <w:color w:val="000000"/>
        </w:rPr>
      </w:pPr>
      <w:r w:rsidRPr="00696FAA">
        <w:rPr>
          <w:rFonts w:eastAsiaTheme="minorEastAsia"/>
          <w:color w:val="000000" w:themeColor="text1"/>
        </w:rPr>
        <w:t>Poskytovatel informuje zadavatele o výsledku kontroly písemně</w:t>
      </w:r>
      <w:r w:rsidR="002672D9" w:rsidRPr="00696FAA">
        <w:rPr>
          <w:rFonts w:eastAsiaTheme="minorEastAsia"/>
          <w:color w:val="000000" w:themeColor="text1"/>
        </w:rPr>
        <w:t xml:space="preserve"> prostřednictvím datové schránky.</w:t>
      </w:r>
      <w:r w:rsidRPr="00696FAA">
        <w:rPr>
          <w:rFonts w:eastAsiaTheme="minorEastAsia"/>
          <w:color w:val="000000" w:themeColor="text1"/>
        </w:rPr>
        <w:t xml:space="preserve"> </w:t>
      </w:r>
    </w:p>
    <w:p w14:paraId="3A4993DB" w14:textId="67D04FAA" w:rsidR="00DC42DD" w:rsidRDefault="00DC42DD" w:rsidP="3F952FE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99" w:line="240" w:lineRule="auto"/>
        <w:jc w:val="both"/>
        <w:rPr>
          <w:rFonts w:eastAsiaTheme="minorEastAsia"/>
          <w:b/>
          <w:bCs/>
          <w:color w:val="000000"/>
          <w:sz w:val="23"/>
          <w:szCs w:val="23"/>
        </w:rPr>
      </w:pPr>
      <w:r w:rsidRPr="3F952FE1">
        <w:rPr>
          <w:rFonts w:eastAsiaTheme="minorEastAsia"/>
          <w:color w:val="000000" w:themeColor="text1"/>
        </w:rPr>
        <w:t xml:space="preserve">S ohledem na výsledek kontroly může </w:t>
      </w:r>
      <w:r w:rsidR="002672D9" w:rsidRPr="3F952FE1">
        <w:rPr>
          <w:rFonts w:eastAsiaTheme="minorEastAsia"/>
          <w:color w:val="000000" w:themeColor="text1"/>
        </w:rPr>
        <w:t xml:space="preserve">poskytovatel </w:t>
      </w:r>
      <w:r w:rsidRPr="3F952FE1">
        <w:rPr>
          <w:rFonts w:eastAsiaTheme="minorEastAsia"/>
          <w:color w:val="000000" w:themeColor="text1"/>
        </w:rPr>
        <w:t>zadavateli doporučit, aby zvážil svůj další postup a možnosti přijetí přiměřeného opatření k nápravě zjištěných nedostatků, včetně zrušení veřejné zakázky.</w:t>
      </w:r>
    </w:p>
    <w:p w14:paraId="1849E0BB" w14:textId="680E4407" w:rsidR="00DC42DD" w:rsidRPr="005E7483" w:rsidRDefault="00DC42DD" w:rsidP="00DC42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005E7483">
        <w:rPr>
          <w:rFonts w:ascii="Calibri" w:hAnsi="Calibri" w:cs="Calibri"/>
          <w:color w:val="000000"/>
        </w:rPr>
        <w:t>Zadavatel je povinen neprodleně informovat poskytovatel</w:t>
      </w:r>
      <w:r>
        <w:rPr>
          <w:rFonts w:ascii="Calibri" w:hAnsi="Calibri" w:cs="Calibri"/>
          <w:color w:val="000000"/>
        </w:rPr>
        <w:t>e</w:t>
      </w:r>
      <w:r w:rsidRPr="005E7483">
        <w:rPr>
          <w:rFonts w:ascii="Calibri" w:hAnsi="Calibri" w:cs="Calibri"/>
          <w:color w:val="000000"/>
        </w:rPr>
        <w:t xml:space="preserve"> o všech řízeních o přezkoumání úkonů zadavatele zahájených </w:t>
      </w:r>
      <w:r w:rsidR="00DC313C">
        <w:rPr>
          <w:rFonts w:ascii="Calibri" w:hAnsi="Calibri" w:cs="Calibri"/>
          <w:color w:val="000000"/>
        </w:rPr>
        <w:t>ÚOHS</w:t>
      </w:r>
      <w:r w:rsidRPr="005E7483">
        <w:rPr>
          <w:rFonts w:ascii="Calibri" w:hAnsi="Calibri" w:cs="Calibri"/>
          <w:color w:val="000000"/>
        </w:rPr>
        <w:t xml:space="preserve"> a rozhodnutích ÚOHS, případně soudních řízeních, jejichž předmětem je zakázka financovaná z </w:t>
      </w:r>
      <w:r>
        <w:rPr>
          <w:rFonts w:ascii="Calibri" w:hAnsi="Calibri" w:cs="Calibri"/>
          <w:color w:val="000000"/>
        </w:rPr>
        <w:t>NPO</w:t>
      </w:r>
      <w:r w:rsidRPr="005E7483">
        <w:rPr>
          <w:rFonts w:ascii="Calibri" w:hAnsi="Calibri" w:cs="Calibri"/>
          <w:color w:val="000000"/>
        </w:rPr>
        <w:t xml:space="preserve">. </w:t>
      </w:r>
    </w:p>
    <w:p w14:paraId="653F2326" w14:textId="77777777" w:rsidR="00DC42DD" w:rsidRPr="00F20C3A" w:rsidRDefault="00DC42DD" w:rsidP="00DC42DD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20C3A">
        <w:rPr>
          <w:rFonts w:ascii="Calibri" w:hAnsi="Calibri" w:cs="Calibri"/>
          <w:b/>
          <w:bCs/>
          <w:color w:val="000000"/>
          <w:sz w:val="23"/>
          <w:szCs w:val="23"/>
        </w:rPr>
        <w:t xml:space="preserve">Důsledky pochybení příjemce při zadávání zakázek spolufinancovaných z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NPO</w:t>
      </w:r>
      <w:r w:rsidRPr="00F20C3A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</w:p>
    <w:p w14:paraId="42345201" w14:textId="47941069" w:rsidR="00DC42DD" w:rsidRPr="00F1068A" w:rsidRDefault="00DC42DD" w:rsidP="00DC42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00F1068A">
        <w:rPr>
          <w:rFonts w:ascii="Calibri" w:hAnsi="Calibri" w:cs="Calibri"/>
          <w:color w:val="000000"/>
        </w:rPr>
        <w:t xml:space="preserve">Pochybení příjemce dotace, které spočívá v nedodržení postupu podle ZZVZ nebo v nedodržení </w:t>
      </w:r>
      <w:r w:rsidR="00B17E32">
        <w:rPr>
          <w:rFonts w:ascii="Calibri" w:hAnsi="Calibri" w:cs="Calibri"/>
          <w:color w:val="000000"/>
        </w:rPr>
        <w:t xml:space="preserve">uvedeného </w:t>
      </w:r>
      <w:r w:rsidRPr="00F1068A">
        <w:rPr>
          <w:rFonts w:ascii="Calibri" w:hAnsi="Calibri" w:cs="Calibri"/>
          <w:color w:val="000000"/>
        </w:rPr>
        <w:t>postupu</w:t>
      </w:r>
      <w:r w:rsidR="00B17E32">
        <w:rPr>
          <w:rFonts w:ascii="Calibri" w:hAnsi="Calibri" w:cs="Calibri"/>
          <w:color w:val="000000"/>
        </w:rPr>
        <w:t xml:space="preserve">, </w:t>
      </w:r>
      <w:r w:rsidRPr="00F1068A">
        <w:rPr>
          <w:rFonts w:ascii="Calibri" w:hAnsi="Calibri" w:cs="Calibri"/>
          <w:color w:val="000000"/>
        </w:rPr>
        <w:t xml:space="preserve">bude řešeno v souladu s rozhodnutím. Stanovení snížených odvodů za porušení rozpočtové kázně v důsledku nedodržení povinností při zadávání zakázek </w:t>
      </w:r>
      <w:r w:rsidRPr="00696FAA">
        <w:rPr>
          <w:rFonts w:ascii="Calibri" w:hAnsi="Calibri" w:cs="Calibri"/>
          <w:color w:val="000000"/>
        </w:rPr>
        <w:t>je upraveno v</w:t>
      </w:r>
      <w:r w:rsidR="00696FAA" w:rsidRPr="00696FAA">
        <w:rPr>
          <w:rFonts w:ascii="Calibri" w:hAnsi="Calibri" w:cs="Calibri"/>
          <w:color w:val="000000"/>
        </w:rPr>
        <w:t> R</w:t>
      </w:r>
      <w:r w:rsidRPr="00696FAA">
        <w:rPr>
          <w:rFonts w:ascii="Calibri" w:hAnsi="Calibri" w:cs="Calibri"/>
          <w:color w:val="000000"/>
        </w:rPr>
        <w:t>ozhodnutí</w:t>
      </w:r>
      <w:r w:rsidR="00696FAA" w:rsidRPr="00696FAA">
        <w:rPr>
          <w:rFonts w:ascii="Calibri" w:hAnsi="Calibri" w:cs="Calibri"/>
          <w:color w:val="000000"/>
        </w:rPr>
        <w:t xml:space="preserve"> o poskytnutí dotace</w:t>
      </w:r>
      <w:r w:rsidRPr="00696FAA">
        <w:rPr>
          <w:rFonts w:ascii="Calibri" w:hAnsi="Calibri" w:cs="Calibri"/>
          <w:color w:val="000000"/>
        </w:rPr>
        <w:t>.</w:t>
      </w:r>
      <w:r w:rsidRPr="00F1068A">
        <w:rPr>
          <w:rFonts w:ascii="Calibri" w:hAnsi="Calibri" w:cs="Calibri"/>
          <w:color w:val="000000"/>
        </w:rPr>
        <w:t xml:space="preserve"> </w:t>
      </w:r>
    </w:p>
    <w:p w14:paraId="6C3ACB19" w14:textId="77777777" w:rsidR="00DC42DD" w:rsidRPr="00E564B6" w:rsidRDefault="00DC42DD" w:rsidP="00DC42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00E564B6">
        <w:rPr>
          <w:rFonts w:ascii="Calibri" w:hAnsi="Calibri" w:cs="Calibri"/>
          <w:color w:val="000000"/>
        </w:rPr>
        <w:lastRenderedPageBreak/>
        <w:t>V případě porušení pravidel pro zadávání zakázek stanovených v této kapitole nebo ZZVZ bude poskytovatelem posuzována závažnost tohoto pochybení, a to zejména z hlediska jeho skutečného nebo možného vlivu na výsledek zadávacího nebo výběrového řízení, z hlediska míry porušení základních zásad zadávání zakázek a z hlediska míry porušení principů hospodárnosti, efektiv</w:t>
      </w:r>
      <w:r>
        <w:rPr>
          <w:rFonts w:ascii="Calibri" w:hAnsi="Calibri" w:cs="Calibri"/>
          <w:color w:val="000000"/>
        </w:rPr>
        <w:t>nosti</w:t>
      </w:r>
      <w:r w:rsidRPr="00E564B6"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 </w:t>
      </w:r>
      <w:r w:rsidRPr="00E564B6">
        <w:rPr>
          <w:rFonts w:ascii="Calibri" w:hAnsi="Calibri" w:cs="Calibri"/>
          <w:color w:val="000000"/>
        </w:rPr>
        <w:t>účelnosti vynakládaných veřejných prostředků</w:t>
      </w:r>
      <w:r>
        <w:rPr>
          <w:rFonts w:ascii="Calibri" w:hAnsi="Calibri" w:cs="Calibri"/>
          <w:color w:val="000000"/>
        </w:rPr>
        <w:t>.</w:t>
      </w:r>
      <w:r w:rsidRPr="00E564B6">
        <w:rPr>
          <w:rFonts w:ascii="Calibri" w:hAnsi="Calibri" w:cs="Calibri"/>
          <w:color w:val="000000"/>
        </w:rPr>
        <w:t xml:space="preserve"> </w:t>
      </w:r>
    </w:p>
    <w:p w14:paraId="268E7D03" w14:textId="77777777" w:rsidR="00DC42DD" w:rsidRPr="00D9527A" w:rsidRDefault="00DC42DD" w:rsidP="00DC42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Calibri"/>
          <w:color w:val="000000"/>
        </w:rPr>
      </w:pPr>
      <w:r w:rsidRPr="00D9527A">
        <w:rPr>
          <w:rFonts w:ascii="Calibri" w:hAnsi="Calibri" w:cs="Calibri"/>
          <w:color w:val="000000"/>
        </w:rPr>
        <w:t>Sazba sníženého odvodu se stanovuje z částky poskytnutých prostředků použitých na financování dané veřejné zakázky nebo částky nárokované k proplacení v souvislosti s danou veřejnou zakázkou. V</w:t>
      </w:r>
      <w:r>
        <w:rPr>
          <w:rFonts w:ascii="Calibri" w:hAnsi="Calibri" w:cs="Calibri"/>
          <w:color w:val="000000"/>
        </w:rPr>
        <w:t> </w:t>
      </w:r>
      <w:r w:rsidRPr="00D9527A">
        <w:rPr>
          <w:rFonts w:ascii="Calibri" w:hAnsi="Calibri" w:cs="Calibri"/>
          <w:color w:val="000000"/>
        </w:rPr>
        <w:t>případě, že bude u zakázky identifikováno více pochybení, výše snížených odvodů stanovených za jednotlivá pochybení se nesčítají a výsledný snížený odvod je stanoven s ohledem na nejzávažnější pochybení.</w:t>
      </w:r>
    </w:p>
    <w:p w14:paraId="22F0CA37" w14:textId="77777777" w:rsidR="00FF6812" w:rsidRDefault="00FF6812"/>
    <w:sectPr w:rsidR="00FF68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2F4D" w14:textId="77777777" w:rsidR="00C60C02" w:rsidRDefault="00C60C02" w:rsidP="00DC42DD">
      <w:pPr>
        <w:spacing w:after="0" w:line="240" w:lineRule="auto"/>
      </w:pPr>
      <w:r>
        <w:separator/>
      </w:r>
    </w:p>
  </w:endnote>
  <w:endnote w:type="continuationSeparator" w:id="0">
    <w:p w14:paraId="005EC03A" w14:textId="77777777" w:rsidR="00C60C02" w:rsidRDefault="00C60C02" w:rsidP="00DC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4A4F" w14:textId="77777777" w:rsidR="00C60C02" w:rsidRDefault="00C60C02" w:rsidP="00DC42DD">
      <w:pPr>
        <w:spacing w:after="0" w:line="240" w:lineRule="auto"/>
      </w:pPr>
      <w:r>
        <w:separator/>
      </w:r>
    </w:p>
  </w:footnote>
  <w:footnote w:type="continuationSeparator" w:id="0">
    <w:p w14:paraId="390FDE04" w14:textId="77777777" w:rsidR="00C60C02" w:rsidRDefault="00C60C02" w:rsidP="00DC42DD">
      <w:pPr>
        <w:spacing w:after="0" w:line="240" w:lineRule="auto"/>
      </w:pPr>
      <w:r>
        <w:continuationSeparator/>
      </w:r>
    </w:p>
  </w:footnote>
  <w:footnote w:id="1">
    <w:p w14:paraId="6B675C93" w14:textId="54EE4121" w:rsidR="00A5212C" w:rsidRPr="008B3A28" w:rsidRDefault="00A5212C">
      <w:pPr>
        <w:pStyle w:val="Textpoznpodarou"/>
        <w:rPr>
          <w:sz w:val="18"/>
          <w:szCs w:val="18"/>
        </w:rPr>
      </w:pPr>
      <w:r w:rsidRPr="008B3A28">
        <w:rPr>
          <w:rStyle w:val="Znakapoznpodarou"/>
          <w:sz w:val="18"/>
          <w:szCs w:val="18"/>
        </w:rPr>
        <w:footnoteRef/>
      </w:r>
      <w:r w:rsidRPr="008B3A28">
        <w:rPr>
          <w:sz w:val="18"/>
          <w:szCs w:val="18"/>
        </w:rPr>
        <w:t xml:space="preserve"> </w:t>
      </w:r>
      <w:r w:rsidR="00315F03" w:rsidRPr="008B3A28">
        <w:rPr>
          <w:sz w:val="18"/>
          <w:szCs w:val="18"/>
        </w:rPr>
        <w:t>ZZVZ transponuje SMĚRNICI EVROPSKÉHO PARLAMENTU A RADY 2014/24/EU ze dne 26. února 2014 o zadávání veřejných zakázek a o zrušení směrnice 2004/18/ES.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1A50" w14:textId="71C67D12" w:rsidR="00351E3D" w:rsidRDefault="000F51AC" w:rsidP="000F51AC">
    <w:pPr>
      <w:pStyle w:val="Zhlav"/>
      <w:tabs>
        <w:tab w:val="clear" w:pos="4536"/>
        <w:tab w:val="center" w:pos="5670"/>
      </w:tabs>
    </w:pPr>
    <w:r w:rsidRPr="000F51AC">
      <w:t xml:space="preserve">Příloha č. 3 </w:t>
    </w:r>
    <w:r w:rsidRPr="000F51AC">
      <w:t>výzvy – Kontrola</w:t>
    </w:r>
    <w:r w:rsidRPr="000F51AC">
      <w:t xml:space="preserve"> výběrových a zadávacích řízení</w:t>
    </w:r>
    <w:r w:rsidR="002138FF">
      <w:tab/>
    </w:r>
    <w:r w:rsidR="002138FF">
      <w:tab/>
      <w:t>č.j. MSMT-26659/2021-</w:t>
    </w:r>
    <w:r w:rsidR="003A44AF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4B"/>
    <w:multiLevelType w:val="hybridMultilevel"/>
    <w:tmpl w:val="5C849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133D"/>
    <w:multiLevelType w:val="hybridMultilevel"/>
    <w:tmpl w:val="FCC81EB0"/>
    <w:lvl w:ilvl="0" w:tplc="B7E440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298"/>
    <w:multiLevelType w:val="hybridMultilevel"/>
    <w:tmpl w:val="09901BB4"/>
    <w:lvl w:ilvl="0" w:tplc="9F9A4F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83F59"/>
    <w:multiLevelType w:val="multilevel"/>
    <w:tmpl w:val="C8E8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6295EAC"/>
    <w:multiLevelType w:val="multilevel"/>
    <w:tmpl w:val="ABC2B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pacing w:val="2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753BD"/>
    <w:multiLevelType w:val="hybridMultilevel"/>
    <w:tmpl w:val="989C36AA"/>
    <w:lvl w:ilvl="0" w:tplc="93B2B3B6">
      <w:start w:val="1"/>
      <w:numFmt w:val="decimal"/>
      <w:lvlText w:val="%1."/>
      <w:lvlJc w:val="left"/>
      <w:pPr>
        <w:ind w:left="720" w:hanging="360"/>
      </w:pPr>
    </w:lvl>
    <w:lvl w:ilvl="1" w:tplc="E782101C">
      <w:start w:val="1"/>
      <w:numFmt w:val="lowerLetter"/>
      <w:lvlText w:val="%2."/>
      <w:lvlJc w:val="left"/>
      <w:pPr>
        <w:ind w:left="1440" w:hanging="360"/>
      </w:pPr>
    </w:lvl>
    <w:lvl w:ilvl="2" w:tplc="7DCEC4CA">
      <w:start w:val="1"/>
      <w:numFmt w:val="lowerRoman"/>
      <w:lvlText w:val="%3."/>
      <w:lvlJc w:val="right"/>
      <w:pPr>
        <w:ind w:left="2160" w:hanging="180"/>
      </w:pPr>
    </w:lvl>
    <w:lvl w:ilvl="3" w:tplc="2EE2E2C8">
      <w:start w:val="1"/>
      <w:numFmt w:val="decimal"/>
      <w:lvlText w:val="%4."/>
      <w:lvlJc w:val="left"/>
      <w:pPr>
        <w:ind w:left="2880" w:hanging="360"/>
      </w:pPr>
    </w:lvl>
    <w:lvl w:ilvl="4" w:tplc="95CC4AE8">
      <w:start w:val="1"/>
      <w:numFmt w:val="lowerLetter"/>
      <w:lvlText w:val="%5."/>
      <w:lvlJc w:val="left"/>
      <w:pPr>
        <w:ind w:left="3600" w:hanging="360"/>
      </w:pPr>
    </w:lvl>
    <w:lvl w:ilvl="5" w:tplc="1F8EE95E">
      <w:start w:val="1"/>
      <w:numFmt w:val="lowerRoman"/>
      <w:lvlText w:val="%6."/>
      <w:lvlJc w:val="right"/>
      <w:pPr>
        <w:ind w:left="4320" w:hanging="180"/>
      </w:pPr>
    </w:lvl>
    <w:lvl w:ilvl="6" w:tplc="4E743B9C">
      <w:start w:val="1"/>
      <w:numFmt w:val="decimal"/>
      <w:lvlText w:val="%7."/>
      <w:lvlJc w:val="left"/>
      <w:pPr>
        <w:ind w:left="5040" w:hanging="360"/>
      </w:pPr>
    </w:lvl>
    <w:lvl w:ilvl="7" w:tplc="5BF2BA52">
      <w:start w:val="1"/>
      <w:numFmt w:val="lowerLetter"/>
      <w:lvlText w:val="%8."/>
      <w:lvlJc w:val="left"/>
      <w:pPr>
        <w:ind w:left="5760" w:hanging="360"/>
      </w:pPr>
    </w:lvl>
    <w:lvl w:ilvl="8" w:tplc="56F67BDC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00602">
    <w:abstractNumId w:val="5"/>
  </w:num>
  <w:num w:numId="2" w16cid:durableId="1222447366">
    <w:abstractNumId w:val="1"/>
  </w:num>
  <w:num w:numId="3" w16cid:durableId="736049428">
    <w:abstractNumId w:val="0"/>
  </w:num>
  <w:num w:numId="4" w16cid:durableId="1001664276">
    <w:abstractNumId w:val="2"/>
  </w:num>
  <w:num w:numId="5" w16cid:durableId="164521246">
    <w:abstractNumId w:val="3"/>
  </w:num>
  <w:num w:numId="6" w16cid:durableId="1327787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80"/>
    <w:rsid w:val="00082A5F"/>
    <w:rsid w:val="000F51AC"/>
    <w:rsid w:val="00164492"/>
    <w:rsid w:val="002138FF"/>
    <w:rsid w:val="00234EF4"/>
    <w:rsid w:val="00237FE6"/>
    <w:rsid w:val="0024092D"/>
    <w:rsid w:val="002672D9"/>
    <w:rsid w:val="002966D1"/>
    <w:rsid w:val="00315F03"/>
    <w:rsid w:val="00351E3D"/>
    <w:rsid w:val="00395675"/>
    <w:rsid w:val="003A44AF"/>
    <w:rsid w:val="00443C22"/>
    <w:rsid w:val="004E0D60"/>
    <w:rsid w:val="005412A4"/>
    <w:rsid w:val="0060178F"/>
    <w:rsid w:val="00660B26"/>
    <w:rsid w:val="00661C7F"/>
    <w:rsid w:val="00696FAA"/>
    <w:rsid w:val="006F0FB8"/>
    <w:rsid w:val="008A7B80"/>
    <w:rsid w:val="008B3A28"/>
    <w:rsid w:val="00991926"/>
    <w:rsid w:val="009A4D23"/>
    <w:rsid w:val="00A5212C"/>
    <w:rsid w:val="00A74030"/>
    <w:rsid w:val="00AA6A3C"/>
    <w:rsid w:val="00B10EA7"/>
    <w:rsid w:val="00B17E32"/>
    <w:rsid w:val="00C05303"/>
    <w:rsid w:val="00C60C02"/>
    <w:rsid w:val="00CB26BA"/>
    <w:rsid w:val="00CC2270"/>
    <w:rsid w:val="00CE2693"/>
    <w:rsid w:val="00D8178D"/>
    <w:rsid w:val="00DC313C"/>
    <w:rsid w:val="00DC42DD"/>
    <w:rsid w:val="00DF60DB"/>
    <w:rsid w:val="00EB225C"/>
    <w:rsid w:val="00ED7581"/>
    <w:rsid w:val="00F1613D"/>
    <w:rsid w:val="00FB5825"/>
    <w:rsid w:val="00FF66AA"/>
    <w:rsid w:val="00FF6812"/>
    <w:rsid w:val="0A27E812"/>
    <w:rsid w:val="0B9E3513"/>
    <w:rsid w:val="1E7F6203"/>
    <w:rsid w:val="201B3264"/>
    <w:rsid w:val="213A9FA3"/>
    <w:rsid w:val="21B702C5"/>
    <w:rsid w:val="2860FE8F"/>
    <w:rsid w:val="32B9BA6F"/>
    <w:rsid w:val="3DBB58FD"/>
    <w:rsid w:val="3F952FE1"/>
    <w:rsid w:val="592901AD"/>
    <w:rsid w:val="5A9EC4F8"/>
    <w:rsid w:val="5C69B028"/>
    <w:rsid w:val="6B44EF01"/>
    <w:rsid w:val="6BD7C684"/>
    <w:rsid w:val="6D7396E5"/>
    <w:rsid w:val="6FD2495B"/>
    <w:rsid w:val="7791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93BF"/>
  <w15:chartTrackingRefBased/>
  <w15:docId w15:val="{42CF9F9D-354A-45A1-AF0E-B9311E3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2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Nad"/>
    <w:basedOn w:val="Normln"/>
    <w:link w:val="OdstavecseseznamemChar"/>
    <w:uiPriority w:val="34"/>
    <w:qFormat/>
    <w:rsid w:val="00DC42DD"/>
    <w:pPr>
      <w:ind w:left="720"/>
      <w:contextualSpacing/>
    </w:p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DC42DD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DC42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DC42DD"/>
    <w:rPr>
      <w:sz w:val="20"/>
      <w:szCs w:val="20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Nad Char"/>
    <w:link w:val="Odstavecseseznamem"/>
    <w:uiPriority w:val="34"/>
    <w:qFormat/>
    <w:rsid w:val="00DC42DD"/>
  </w:style>
  <w:style w:type="paragraph" w:styleId="Zhlav">
    <w:name w:val="header"/>
    <w:basedOn w:val="Normln"/>
    <w:link w:val="ZhlavChar"/>
    <w:uiPriority w:val="99"/>
    <w:unhideWhenUsed/>
    <w:rsid w:val="0035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E3D"/>
  </w:style>
  <w:style w:type="paragraph" w:styleId="Zpat">
    <w:name w:val="footer"/>
    <w:basedOn w:val="Normln"/>
    <w:link w:val="ZpatChar"/>
    <w:uiPriority w:val="99"/>
    <w:unhideWhenUsed/>
    <w:rsid w:val="0035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E3D"/>
  </w:style>
  <w:style w:type="character" w:styleId="Odkaznakoment">
    <w:name w:val="annotation reference"/>
    <w:basedOn w:val="Standardnpsmoodstavce"/>
    <w:uiPriority w:val="99"/>
    <w:semiHidden/>
    <w:unhideWhenUsed/>
    <w:rsid w:val="009A4D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D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D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D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2E4340BBC544FBE113C0AFEB155D7" ma:contentTypeVersion="4" ma:contentTypeDescription="Vytvoří nový dokument" ma:contentTypeScope="" ma:versionID="cd27d3d0892adfa2278c3d5a1e93b6de">
  <xsd:schema xmlns:xsd="http://www.w3.org/2001/XMLSchema" xmlns:xs="http://www.w3.org/2001/XMLSchema" xmlns:p="http://schemas.microsoft.com/office/2006/metadata/properties" xmlns:ns2="2a04ea54-bb9a-487e-a256-d398fdd70f50" targetNamespace="http://schemas.microsoft.com/office/2006/metadata/properties" ma:root="true" ma:fieldsID="51ffcc811829aa4469f09e66c0d83eb1" ns2:_="">
    <xsd:import namespace="2a04ea54-bb9a-487e-a256-d398fdd70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ea54-bb9a-487e-a256-d398fdd70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9B01C-4DC6-4F43-BF62-5CEC019E3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75D49-33D1-47EC-B854-8FDB8CB70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4ea54-bb9a-487e-a256-d398fdd70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3DF90-35E5-43C1-B36D-95887D15A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523383-5FCA-4963-9BC0-47F690E92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1024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Kaňka Pavel</cp:lastModifiedBy>
  <cp:revision>29</cp:revision>
  <dcterms:created xsi:type="dcterms:W3CDTF">2022-05-12T08:16:00Z</dcterms:created>
  <dcterms:modified xsi:type="dcterms:W3CDTF">2022-06-21T13:28:00Z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0x010100A882E4340BBC544FBE113C0AFEB155D7</vt:lpwstr>
  </property>
</Properties>
</file>