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F4C1" w14:textId="77777777" w:rsidR="00EA247B" w:rsidRDefault="0059027E" w:rsidP="0059027E">
      <w:pPr>
        <w:pStyle w:val="Nadpis3"/>
        <w:spacing w:after="0"/>
        <w:jc w:val="center"/>
        <w:rPr>
          <w:rFonts w:eastAsia="Calibri"/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</w:t>
      </w:r>
      <w:r w:rsidR="00287B2D">
        <w:rPr>
          <w:rFonts w:eastAsia="Calibri"/>
          <w:sz w:val="30"/>
          <w:szCs w:val="30"/>
        </w:rPr>
        <w:t>3</w:t>
      </w:r>
      <w:r w:rsidRPr="009F4B2F">
        <w:rPr>
          <w:rFonts w:eastAsia="Calibri"/>
          <w:sz w:val="30"/>
          <w:szCs w:val="30"/>
        </w:rPr>
        <w:t>/202</w:t>
      </w:r>
      <w:r w:rsidR="00287B2D">
        <w:rPr>
          <w:rFonts w:eastAsia="Calibri"/>
          <w:sz w:val="30"/>
          <w:szCs w:val="30"/>
        </w:rPr>
        <w:t>4</w:t>
      </w:r>
      <w:r w:rsidRPr="009F4B2F">
        <w:rPr>
          <w:rFonts w:eastAsia="Calibri"/>
          <w:sz w:val="30"/>
          <w:szCs w:val="30"/>
        </w:rPr>
        <w:t xml:space="preserve">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  <w:r w:rsidR="00F00A87">
        <w:rPr>
          <w:rFonts w:eastAsia="Calibri"/>
          <w:sz w:val="30"/>
          <w:szCs w:val="30"/>
        </w:rPr>
        <w:t xml:space="preserve"> </w:t>
      </w:r>
    </w:p>
    <w:p w14:paraId="2F21D57A" w14:textId="1FB625F5" w:rsidR="0059027E" w:rsidRPr="009F4B2F" w:rsidRDefault="00F00A87" w:rsidP="00EA247B">
      <w:pPr>
        <w:pStyle w:val="Nadpis3"/>
        <w:spacing w:before="0" w:after="0"/>
        <w:jc w:val="center"/>
        <w:rPr>
          <w:sz w:val="30"/>
          <w:szCs w:val="30"/>
        </w:rPr>
      </w:pPr>
      <w:r w:rsidRPr="005E2AAE">
        <w:rPr>
          <w:rFonts w:eastAsia="Calibri"/>
          <w:sz w:val="30"/>
          <w:szCs w:val="30"/>
        </w:rPr>
        <w:t>ve znění novely č</w:t>
      </w:r>
      <w:r w:rsidR="005E2AAE" w:rsidRPr="005E2AAE">
        <w:rPr>
          <w:rFonts w:eastAsia="Calibri"/>
          <w:sz w:val="30"/>
          <w:szCs w:val="30"/>
        </w:rPr>
        <w:t>. 20</w:t>
      </w:r>
      <w:r w:rsidRPr="005E2AAE">
        <w:rPr>
          <w:rFonts w:eastAsia="Calibri"/>
          <w:sz w:val="30"/>
          <w:szCs w:val="30"/>
        </w:rPr>
        <w:t>/2023 Sb.</w:t>
      </w:r>
    </w:p>
    <w:p w14:paraId="40076D95" w14:textId="3450F93D"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Повідомлення про спеціальний запис до початкової школи на навчальний рік 202</w:t>
      </w:r>
      <w:r w:rsidR="00287B2D">
        <w:rPr>
          <w:rFonts w:ascii="Calibri" w:hAnsi="Calibri"/>
          <w:b/>
          <w:bCs/>
          <w:color w:val="0070C0"/>
          <w:sz w:val="30"/>
          <w:szCs w:val="30"/>
        </w:rPr>
        <w:t>3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/202</w:t>
      </w:r>
      <w:r w:rsidR="00287B2D">
        <w:rPr>
          <w:rFonts w:ascii="Calibri" w:hAnsi="Calibri"/>
          <w:b/>
          <w:bCs/>
          <w:color w:val="0070C0"/>
          <w:sz w:val="30"/>
          <w:szCs w:val="30"/>
        </w:rPr>
        <w:t>4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14:paraId="3720DAB1" w14:textId="77777777" w:rsidR="005C7F66" w:rsidRDefault="0059027E" w:rsidP="0059027E">
      <w:pPr>
        <w:spacing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(«лекс Україна» </w:t>
      </w:r>
      <w:r w:rsidRPr="005C7F66">
        <w:rPr>
          <w:rFonts w:ascii="Calibri" w:hAnsi="Calibri"/>
          <w:b/>
          <w:bCs/>
          <w:color w:val="0070C0"/>
          <w:sz w:val="30"/>
          <w:szCs w:val="30"/>
          <w:lang w:val="uk-UA"/>
        </w:rPr>
        <w:t>- освіта)</w:t>
      </w:r>
      <w:r w:rsidR="005C7F66" w:rsidRPr="005C7F66">
        <w:rPr>
          <w:rFonts w:ascii="Calibri" w:hAnsi="Calibri"/>
          <w:b/>
          <w:bCs/>
          <w:color w:val="0070C0"/>
          <w:sz w:val="30"/>
          <w:szCs w:val="30"/>
        </w:rPr>
        <w:t xml:space="preserve"> </w:t>
      </w:r>
    </w:p>
    <w:p w14:paraId="7803B2CF" w14:textId="7431D763" w:rsidR="0059027E" w:rsidRPr="00F00A87" w:rsidRDefault="005C7F66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5C7F66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>зі змінами внесеними поправкою № 20/2023 ЗБ.</w:t>
      </w:r>
    </w:p>
    <w:p w14:paraId="40EFAC8E" w14:textId="77777777"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14:paraId="45BB9914" w14:textId="77777777" w:rsidR="0059027E" w:rsidRDefault="0059027E" w:rsidP="0059027E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Pr="007E66E6">
        <w:rPr>
          <w:rFonts w:ascii="Calibri" w:eastAsia="Calibri" w:hAnsi="Calibri" w:cs="Calibri"/>
          <w:color w:val="000000" w:themeColor="text1"/>
        </w:rPr>
        <w:t>……………………………………………………………………</w:t>
      </w:r>
      <w:r w:rsidRPr="007E66E6">
        <w:rPr>
          <w:rFonts w:ascii="Calibri" w:eastAsia="Calibri" w:hAnsi="Calibri" w:cs="Calibri"/>
          <w:color w:val="000000" w:themeColor="text1"/>
          <w:lang w:val="uk-UA"/>
        </w:rPr>
        <w:t xml:space="preserve"> </w:t>
      </w:r>
    </w:p>
    <w:p w14:paraId="48EC77C5" w14:textId="548BE22F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</w:t>
      </w:r>
      <w:r w:rsidR="00F00A87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F00A8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:</w:t>
      </w:r>
    </w:p>
    <w:p w14:paraId="32BBA2CC" w14:textId="2DA4E983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</w:t>
      </w:r>
      <w:r w:rsidR="00F00A87">
        <w:rPr>
          <w:rFonts w:ascii="Calibri" w:eastAsia="Calibri" w:hAnsi="Calibri" w:cs="Calibri"/>
          <w:color w:val="0070C0"/>
        </w:rPr>
        <w:t>3</w:t>
      </w:r>
      <w:r>
        <w:rPr>
          <w:rFonts w:ascii="Calibri" w:eastAsia="Calibri" w:hAnsi="Calibri" w:cs="Calibri"/>
          <w:color w:val="0070C0"/>
          <w:lang w:val="uk-UA"/>
        </w:rPr>
        <w:t>/202</w:t>
      </w:r>
      <w:r w:rsidR="00F00A87">
        <w:rPr>
          <w:rFonts w:ascii="Calibri" w:eastAsia="Calibri" w:hAnsi="Calibri" w:cs="Calibri"/>
          <w:color w:val="0070C0"/>
        </w:rPr>
        <w:t>4</w:t>
      </w:r>
      <w:r>
        <w:rPr>
          <w:rFonts w:ascii="Calibri" w:eastAsia="Calibri" w:hAnsi="Calibri" w:cs="Calibri"/>
          <w:color w:val="0070C0"/>
          <w:lang w:val="uk-UA"/>
        </w:rPr>
        <w:t>:</w:t>
      </w:r>
    </w:p>
    <w:p w14:paraId="63614AF7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2685E449" w14:textId="77777777"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79939657" w14:textId="77777777"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2DFB6EEF" w14:textId="77777777"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21DB8CE2" w14:textId="77777777"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7EB88D91" w14:textId="77777777"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091C0138" w14:textId="77777777"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12677978" w14:textId="77777777"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26ABA5F2" w14:textId="77777777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……………………………… </w:t>
      </w:r>
    </w:p>
    <w:p w14:paraId="2209F4FB" w14:textId="77777777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……………………………....</w:t>
      </w:r>
    </w:p>
    <w:p w14:paraId="73080045" w14:textId="77777777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</w:rPr>
        <w:t>…………………</w:t>
      </w:r>
    </w:p>
    <w:p w14:paraId="14FF5506" w14:textId="77777777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14:paraId="226D87B2" w14:textId="77777777"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5EFB7A33" w14:textId="77777777"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708BDBC1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407A642A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5E811BFF" w14:textId="37C358D8"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</w:t>
      </w:r>
      <w:r w:rsidR="006E560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Zákonný zástupce je povinen do prvního ročníku základního vzdělávání ve školním roce 202</w:t>
      </w:r>
      <w:r w:rsidR="00F00A87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F00A8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</w:t>
      </w:r>
      <w:r w:rsidR="00F00A87">
        <w:rPr>
          <w:rFonts w:ascii="Calibri" w:eastAsia="Calibri" w:hAnsi="Calibri" w:cs="Calibri"/>
          <w:bCs/>
        </w:rPr>
        <w:t>3</w:t>
      </w:r>
      <w:r>
        <w:rPr>
          <w:rFonts w:ascii="Calibri" w:eastAsia="Calibri" w:hAnsi="Calibri" w:cs="Calibri"/>
          <w:bCs/>
        </w:rPr>
        <w:t xml:space="preserve">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14:paraId="1A1BF150" w14:textId="2B2A4884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</w:t>
      </w:r>
      <w:r w:rsidR="00F00A87">
        <w:rPr>
          <w:rFonts w:ascii="Calibri" w:eastAsia="Calibri" w:hAnsi="Calibri" w:cs="Calibri"/>
          <w:bCs/>
          <w:color w:val="0070C0"/>
        </w:rPr>
        <w:t>3</w:t>
      </w:r>
      <w:r>
        <w:rPr>
          <w:rFonts w:ascii="Calibri" w:eastAsia="Calibri" w:hAnsi="Calibri" w:cs="Calibri"/>
          <w:bCs/>
          <w:color w:val="0070C0"/>
          <w:lang w:val="uk-UA"/>
        </w:rPr>
        <w:t>/2</w:t>
      </w:r>
      <w:r w:rsidR="00F00A87">
        <w:rPr>
          <w:rFonts w:ascii="Calibri" w:eastAsia="Calibri" w:hAnsi="Calibri" w:cs="Calibri"/>
          <w:bCs/>
          <w:color w:val="0070C0"/>
        </w:rPr>
        <w:t>4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</w:t>
      </w:r>
      <w:r w:rsidR="00CF6094">
        <w:rPr>
          <w:rFonts w:ascii="Calibri" w:eastAsia="Calibri" w:hAnsi="Calibri" w:cs="Calibri"/>
          <w:bCs/>
          <w:color w:val="0070C0"/>
        </w:rPr>
        <w:t>3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14:paraId="3D053E37" w14:textId="5C342884"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 w:rsidR="006E560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Zákonní zástupci jsou povinni předložit tyto dokumenty:</w:t>
      </w:r>
    </w:p>
    <w:p w14:paraId="0D3087A5" w14:textId="77777777"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19D0793E" w14:textId="6EB13E96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</w:t>
      </w:r>
      <w:r w:rsidR="001D3630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 xml:space="preserve">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>*</w:t>
      </w:r>
      <w:r>
        <w:rPr>
          <w:rFonts w:ascii="Calibri" w:eastAsia="Calibri" w:hAnsi="Calibri" w:cs="Calibri"/>
        </w:rPr>
        <w:t>, nebo lze vyzvednout osobně ve spádové základní škole)</w:t>
      </w:r>
      <w:r w:rsidR="00290F42">
        <w:rPr>
          <w:rFonts w:ascii="Calibri" w:eastAsia="Calibri" w:hAnsi="Calibri" w:cs="Calibri"/>
        </w:rPr>
        <w:t>;</w:t>
      </w:r>
    </w:p>
    <w:p w14:paraId="6DC8111E" w14:textId="20BAE5F3" w:rsidR="0059027E" w:rsidRPr="00290F42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lang w:val="uk-UA"/>
          </w:rPr>
          <w:t>ТУТ</w:t>
        </w:r>
      </w:hyperlink>
      <w:r>
        <w:rPr>
          <w:rStyle w:val="Hypertextovodkaz"/>
          <w:rFonts w:ascii="Calibri" w:hAnsi="Calibri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  <w:r w:rsidR="00290F42">
        <w:rPr>
          <w:rFonts w:ascii="Calibri" w:hAnsi="Calibri"/>
          <w:color w:val="0070C0"/>
        </w:rPr>
        <w:t>;</w:t>
      </w:r>
    </w:p>
    <w:p w14:paraId="2F45A4AF" w14:textId="569BB9ED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1DCB9FEC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27C2EC1D" w14:textId="3EA80DB4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c) </w:t>
      </w:r>
      <w:r w:rsidR="001D3630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>doklad, ze kterého vyplývá oprávnění dítě zastupovat.</w:t>
      </w:r>
    </w:p>
    <w:p w14:paraId="7BE8E408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14:paraId="3080FC65" w14:textId="77777777"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14:paraId="5F5F8156" w14:textId="77777777"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14:paraId="6DF1A77E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14:paraId="6AB37226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14:paraId="012F12DF" w14:textId="77777777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…………………………dne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>…………………….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5F39A2E" w14:textId="77777777"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6D6E8DC8" w14:textId="77777777"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45422A66" w14:textId="77777777"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1661657F" w14:textId="77777777" w:rsidR="0059027E" w:rsidRDefault="0059027E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14:paraId="317F75D4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5C089DB2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51968B9C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1776B744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40616C24" w14:textId="77777777" w:rsidR="00584575" w:rsidRDefault="0059027E" w:rsidP="0059027E">
      <w:pPr>
        <w:spacing w:before="120" w:after="0" w:line="240" w:lineRule="auto"/>
      </w:pPr>
      <w:r w:rsidRPr="00FC78E1">
        <w:rPr>
          <w:rFonts w:ascii="Calibri" w:eastAsia="Calibri" w:hAnsi="Calibri" w:cs="Calibri"/>
        </w:rPr>
        <w:t xml:space="preserve"> </w:t>
      </w:r>
      <w:r w:rsidRPr="007E66E6">
        <w:rPr>
          <w:i/>
        </w:rPr>
        <w:t xml:space="preserve">* V případě zveřejnění oznámení v listinné podobě je nutné webový odkaz smazat. </w:t>
      </w: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44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E"/>
    <w:rsid w:val="001D3630"/>
    <w:rsid w:val="00287B2D"/>
    <w:rsid w:val="00290F42"/>
    <w:rsid w:val="00584575"/>
    <w:rsid w:val="0059027E"/>
    <w:rsid w:val="005C7F66"/>
    <w:rsid w:val="005E2AAE"/>
    <w:rsid w:val="006D2BDA"/>
    <w:rsid w:val="006E5601"/>
    <w:rsid w:val="00760EF7"/>
    <w:rsid w:val="00C37E7D"/>
    <w:rsid w:val="00CF6094"/>
    <w:rsid w:val="00EA247B"/>
    <w:rsid w:val="00F0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CD14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F00A87"/>
    <w:pPr>
      <w:spacing w:after="0" w:line="240" w:lineRule="auto"/>
    </w:pPr>
    <w:rPr>
      <w:rFonts w:eastAsiaTheme="minorEastAsia"/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C37E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7E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7E7D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7E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7E7D"/>
    <w:rPr>
      <w:rFonts w:eastAsiaTheme="minorEastAsia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E56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Jůnová Olga</cp:lastModifiedBy>
  <cp:revision>13</cp:revision>
  <dcterms:created xsi:type="dcterms:W3CDTF">2022-05-05T07:43:00Z</dcterms:created>
  <dcterms:modified xsi:type="dcterms:W3CDTF">2023-01-25T09:18:00Z</dcterms:modified>
</cp:coreProperties>
</file>